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A91" w:rsidRPr="00F253E0" w:rsidRDefault="00185A91">
      <w:pPr>
        <w:spacing w:before="36" w:line="264" w:lineRule="auto"/>
        <w:ind w:right="1826"/>
        <w:rPr>
          <w:spacing w:val="12"/>
          <w:sz w:val="32"/>
          <w:szCs w:val="22"/>
        </w:rPr>
      </w:pPr>
      <w:r w:rsidRPr="00F253E0">
        <w:rPr>
          <w:spacing w:val="12"/>
          <w:sz w:val="32"/>
          <w:szCs w:val="22"/>
        </w:rPr>
        <w:t xml:space="preserve">El Oro </w:t>
      </w:r>
      <w:r w:rsidR="00741DAD">
        <w:rPr>
          <w:spacing w:val="12"/>
          <w:sz w:val="32"/>
          <w:szCs w:val="22"/>
        </w:rPr>
        <w:t>Ltd</w:t>
      </w:r>
    </w:p>
    <w:p w:rsidR="00185A91" w:rsidRPr="00F253E0" w:rsidRDefault="00185A91">
      <w:pPr>
        <w:spacing w:before="36" w:line="264" w:lineRule="auto"/>
        <w:ind w:right="1826"/>
        <w:rPr>
          <w:spacing w:val="12"/>
          <w:sz w:val="32"/>
          <w:szCs w:val="22"/>
        </w:rPr>
      </w:pPr>
      <w:r w:rsidRPr="00F253E0">
        <w:rPr>
          <w:spacing w:val="12"/>
          <w:sz w:val="32"/>
          <w:szCs w:val="22"/>
        </w:rPr>
        <w:t>Preliminary Announcement</w:t>
      </w:r>
    </w:p>
    <w:p w:rsidR="00185A91" w:rsidRPr="00F95929" w:rsidRDefault="00185A91">
      <w:pPr>
        <w:spacing w:before="36" w:line="264" w:lineRule="auto"/>
        <w:ind w:right="3622"/>
        <w:rPr>
          <w:spacing w:val="2"/>
        </w:rPr>
      </w:pPr>
      <w:r w:rsidRPr="00F95929">
        <w:rPr>
          <w:b/>
          <w:bCs/>
          <w:spacing w:val="12"/>
        </w:rPr>
        <w:t>CHAIRMAN’S STATEMENT</w:t>
      </w:r>
    </w:p>
    <w:p w:rsidR="00185A91" w:rsidRPr="00F95929" w:rsidRDefault="00741DAD">
      <w:pPr>
        <w:spacing w:before="36" w:after="240"/>
        <w:ind w:right="3623"/>
        <w:rPr>
          <w:spacing w:val="2"/>
        </w:rPr>
      </w:pPr>
      <w:r w:rsidRPr="00F95929">
        <w:rPr>
          <w:b/>
          <w:bCs/>
          <w:spacing w:val="12"/>
        </w:rPr>
        <w:t>18 December 2009</w:t>
      </w:r>
    </w:p>
    <w:p w:rsidR="00FF7650" w:rsidRDefault="00FF7650" w:rsidP="00FF7650">
      <w:pPr>
        <w:rPr>
          <w:bCs/>
          <w:sz w:val="22"/>
          <w:szCs w:val="22"/>
        </w:rPr>
      </w:pPr>
      <w:r>
        <w:rPr>
          <w:bCs/>
          <w:sz w:val="22"/>
          <w:szCs w:val="22"/>
        </w:rPr>
        <w:t xml:space="preserve">The El Oro Group’s Consolidated Annual Accounts to 30 June 2009 </w:t>
      </w:r>
      <w:r w:rsidR="00A90D23">
        <w:rPr>
          <w:bCs/>
          <w:sz w:val="22"/>
          <w:szCs w:val="22"/>
        </w:rPr>
        <w:t>will be mailed out this week and is</w:t>
      </w:r>
      <w:r>
        <w:rPr>
          <w:bCs/>
          <w:sz w:val="22"/>
          <w:szCs w:val="22"/>
        </w:rPr>
        <w:t xml:space="preserve"> available</w:t>
      </w:r>
      <w:r w:rsidR="00A90D23">
        <w:rPr>
          <w:bCs/>
          <w:sz w:val="22"/>
          <w:szCs w:val="22"/>
        </w:rPr>
        <w:t xml:space="preserve"> in pdf format</w:t>
      </w:r>
      <w:r>
        <w:rPr>
          <w:bCs/>
          <w:sz w:val="22"/>
          <w:szCs w:val="22"/>
        </w:rPr>
        <w:t xml:space="preserve"> on the Company’s website </w:t>
      </w:r>
      <w:hyperlink r:id="rId7" w:history="1">
        <w:r w:rsidRPr="00AF7FBB">
          <w:rPr>
            <w:rStyle w:val="Hyperlink"/>
            <w:bCs/>
            <w:sz w:val="22"/>
            <w:szCs w:val="22"/>
          </w:rPr>
          <w:t>www.eloro.co.uk</w:t>
        </w:r>
      </w:hyperlink>
      <w:r w:rsidR="00A90D23">
        <w:rPr>
          <w:bCs/>
          <w:sz w:val="22"/>
          <w:szCs w:val="22"/>
        </w:rPr>
        <w:t>.</w:t>
      </w:r>
    </w:p>
    <w:p w:rsidR="00A90D23" w:rsidRPr="00FE16B2" w:rsidRDefault="00A90D23" w:rsidP="00FF7650">
      <w:pPr>
        <w:rPr>
          <w:sz w:val="22"/>
          <w:szCs w:val="22"/>
        </w:rPr>
      </w:pPr>
    </w:p>
    <w:p w:rsidR="00F95929" w:rsidRPr="004F3A06" w:rsidRDefault="00F95929" w:rsidP="00F95929">
      <w:pPr>
        <w:autoSpaceDE w:val="0"/>
        <w:autoSpaceDN w:val="0"/>
        <w:adjustRightInd w:val="0"/>
        <w:jc w:val="both"/>
        <w:rPr>
          <w:sz w:val="23"/>
          <w:szCs w:val="23"/>
          <w:lang w:eastAsia="en-GB"/>
        </w:rPr>
      </w:pPr>
      <w:r w:rsidRPr="004F3A06">
        <w:rPr>
          <w:sz w:val="23"/>
          <w:szCs w:val="23"/>
          <w:lang w:eastAsia="en-GB"/>
        </w:rPr>
        <w:t>The El Oro Group’s loss before tax for the year ended 30 June 2009 was £30,381,174 (year ended 30 June 2008 was restated as a loss of £543,872). The Group’s net assets at 30 June 2009 were £51,810,400 or 480.8 pence per share (2008: £74,638,810 or 692.6 pence per share).</w:t>
      </w:r>
    </w:p>
    <w:p w:rsidR="00F95929" w:rsidRPr="004F3A06" w:rsidRDefault="00F95929" w:rsidP="00F95929">
      <w:pPr>
        <w:autoSpaceDE w:val="0"/>
        <w:autoSpaceDN w:val="0"/>
        <w:adjustRightInd w:val="0"/>
        <w:jc w:val="both"/>
        <w:rPr>
          <w:sz w:val="23"/>
          <w:szCs w:val="23"/>
          <w:lang w:eastAsia="en-GB"/>
        </w:rPr>
      </w:pPr>
    </w:p>
    <w:p w:rsidR="00F95929" w:rsidRPr="004F3A06" w:rsidRDefault="00F95929" w:rsidP="00F95929">
      <w:pPr>
        <w:autoSpaceDE w:val="0"/>
        <w:autoSpaceDN w:val="0"/>
        <w:adjustRightInd w:val="0"/>
        <w:jc w:val="both"/>
        <w:rPr>
          <w:sz w:val="23"/>
          <w:szCs w:val="23"/>
          <w:lang w:eastAsia="en-GB"/>
        </w:rPr>
      </w:pPr>
      <w:r w:rsidRPr="004F3A06">
        <w:rPr>
          <w:sz w:val="23"/>
          <w:szCs w:val="23"/>
          <w:lang w:eastAsia="en-GB"/>
        </w:rPr>
        <w:t>The Board has declared a first and only interim dividend of 14.0 pence per Share for the full year ended 30 June 2009, with the dividend to be paid on 23 December 2009 to Members registered on the books of the Company at the close of business on 4 December 2009, representing a 3.7% return on the mid-price at 30 September 2009.</w:t>
      </w:r>
    </w:p>
    <w:p w:rsidR="00F95929" w:rsidRPr="004F3A06" w:rsidRDefault="00F95929" w:rsidP="00F95929">
      <w:pPr>
        <w:autoSpaceDE w:val="0"/>
        <w:autoSpaceDN w:val="0"/>
        <w:adjustRightInd w:val="0"/>
        <w:jc w:val="both"/>
        <w:rPr>
          <w:sz w:val="23"/>
          <w:szCs w:val="23"/>
          <w:lang w:eastAsia="en-GB"/>
        </w:rPr>
      </w:pPr>
    </w:p>
    <w:p w:rsidR="00F95929" w:rsidRPr="004F3A06" w:rsidRDefault="00F95929" w:rsidP="00F95929">
      <w:pPr>
        <w:autoSpaceDE w:val="0"/>
        <w:autoSpaceDN w:val="0"/>
        <w:adjustRightInd w:val="0"/>
        <w:jc w:val="both"/>
        <w:rPr>
          <w:sz w:val="23"/>
          <w:szCs w:val="23"/>
          <w:lang w:eastAsia="en-GB"/>
        </w:rPr>
      </w:pPr>
      <w:r w:rsidRPr="004F3A06">
        <w:rPr>
          <w:sz w:val="23"/>
          <w:szCs w:val="23"/>
          <w:lang w:eastAsia="en-GB"/>
        </w:rPr>
        <w:t>The Group’s net asset value per Share (“NAV”) showed a decline over the year of 30.6% while the FTSE All</w:t>
      </w:r>
      <w:r w:rsidR="004F3A06" w:rsidRPr="004F3A06">
        <w:rPr>
          <w:sz w:val="23"/>
          <w:szCs w:val="23"/>
          <w:lang w:eastAsia="en-GB"/>
        </w:rPr>
        <w:t xml:space="preserve"> </w:t>
      </w:r>
      <w:r w:rsidRPr="004F3A06">
        <w:rPr>
          <w:sz w:val="23"/>
          <w:szCs w:val="23"/>
          <w:lang w:eastAsia="en-GB"/>
        </w:rPr>
        <w:t>Share Index was down by 23.9%.</w:t>
      </w:r>
    </w:p>
    <w:p w:rsidR="00F95929" w:rsidRPr="004F3A06" w:rsidRDefault="00F95929" w:rsidP="00F95929">
      <w:pPr>
        <w:autoSpaceDE w:val="0"/>
        <w:autoSpaceDN w:val="0"/>
        <w:adjustRightInd w:val="0"/>
        <w:jc w:val="both"/>
        <w:rPr>
          <w:sz w:val="23"/>
          <w:szCs w:val="23"/>
          <w:lang w:eastAsia="en-GB"/>
        </w:rPr>
      </w:pPr>
    </w:p>
    <w:p w:rsidR="00F95929" w:rsidRPr="004F3A06" w:rsidRDefault="00F95929" w:rsidP="00F95929">
      <w:pPr>
        <w:autoSpaceDE w:val="0"/>
        <w:autoSpaceDN w:val="0"/>
        <w:adjustRightInd w:val="0"/>
        <w:jc w:val="both"/>
        <w:rPr>
          <w:sz w:val="23"/>
          <w:szCs w:val="23"/>
          <w:lang w:eastAsia="en-GB"/>
        </w:rPr>
      </w:pPr>
      <w:r w:rsidRPr="004F3A06">
        <w:rPr>
          <w:sz w:val="23"/>
          <w:szCs w:val="23"/>
          <w:lang w:eastAsia="en-GB"/>
        </w:rPr>
        <w:t>The sight of surfacing submarines was hardly apparent in this set of figures, but has since dominated the skyline, and indeed the recovery of some stocks has replicated perhaps the only sighting ever of the launch of a Trident missile.</w:t>
      </w:r>
    </w:p>
    <w:p w:rsidR="00F95929" w:rsidRPr="004F3A06" w:rsidRDefault="00F95929" w:rsidP="00F95929">
      <w:pPr>
        <w:autoSpaceDE w:val="0"/>
        <w:autoSpaceDN w:val="0"/>
        <w:adjustRightInd w:val="0"/>
        <w:jc w:val="both"/>
        <w:rPr>
          <w:sz w:val="23"/>
          <w:szCs w:val="23"/>
          <w:lang w:eastAsia="en-GB"/>
        </w:rPr>
      </w:pPr>
    </w:p>
    <w:p w:rsidR="00F95929" w:rsidRPr="004F3A06" w:rsidRDefault="00F95929" w:rsidP="00F95929">
      <w:pPr>
        <w:autoSpaceDE w:val="0"/>
        <w:autoSpaceDN w:val="0"/>
        <w:adjustRightInd w:val="0"/>
        <w:jc w:val="both"/>
        <w:rPr>
          <w:sz w:val="23"/>
          <w:szCs w:val="23"/>
          <w:lang w:eastAsia="en-GB"/>
        </w:rPr>
      </w:pPr>
      <w:r w:rsidRPr="004F3A06">
        <w:rPr>
          <w:sz w:val="23"/>
          <w:szCs w:val="23"/>
          <w:lang w:eastAsia="en-GB"/>
        </w:rPr>
        <w:t>To repeat the name of those stocks has in the past been a recipe for sudden and almost immediate swoons, so we will follow the current trend for Redaction, other than to say several holdings are now very significantly ahead of the position at the end of June.</w:t>
      </w:r>
    </w:p>
    <w:p w:rsidR="00F95929" w:rsidRPr="004F3A06" w:rsidRDefault="00F95929" w:rsidP="00F95929">
      <w:pPr>
        <w:autoSpaceDE w:val="0"/>
        <w:autoSpaceDN w:val="0"/>
        <w:adjustRightInd w:val="0"/>
        <w:jc w:val="both"/>
        <w:rPr>
          <w:sz w:val="23"/>
          <w:szCs w:val="23"/>
          <w:lang w:eastAsia="en-GB"/>
        </w:rPr>
      </w:pPr>
    </w:p>
    <w:p w:rsidR="00F95929" w:rsidRPr="004F3A06" w:rsidRDefault="00F95929" w:rsidP="00F95929">
      <w:pPr>
        <w:autoSpaceDE w:val="0"/>
        <w:autoSpaceDN w:val="0"/>
        <w:adjustRightInd w:val="0"/>
        <w:jc w:val="both"/>
        <w:rPr>
          <w:sz w:val="23"/>
          <w:szCs w:val="23"/>
          <w:lang w:eastAsia="en-GB"/>
        </w:rPr>
      </w:pPr>
      <w:r w:rsidRPr="004F3A06">
        <w:rPr>
          <w:sz w:val="23"/>
          <w:szCs w:val="23"/>
          <w:lang w:eastAsia="en-GB"/>
        </w:rPr>
        <w:t>Following the Migration to Guernsey on April Fools’ Day, we have seen several stocks show increases in the underlying asset values, restoring some of the losses experienced during the turbulence of the second and third quarters.</w:t>
      </w:r>
    </w:p>
    <w:p w:rsidR="00F95929" w:rsidRPr="004F3A06" w:rsidRDefault="00F95929" w:rsidP="00F95929">
      <w:pPr>
        <w:autoSpaceDE w:val="0"/>
        <w:autoSpaceDN w:val="0"/>
        <w:adjustRightInd w:val="0"/>
        <w:jc w:val="both"/>
        <w:rPr>
          <w:sz w:val="23"/>
          <w:szCs w:val="23"/>
          <w:lang w:eastAsia="en-GB"/>
        </w:rPr>
      </w:pPr>
    </w:p>
    <w:p w:rsidR="00F95929" w:rsidRPr="004F3A06" w:rsidRDefault="00F95929" w:rsidP="00F95929">
      <w:pPr>
        <w:autoSpaceDE w:val="0"/>
        <w:autoSpaceDN w:val="0"/>
        <w:adjustRightInd w:val="0"/>
        <w:jc w:val="both"/>
        <w:rPr>
          <w:sz w:val="23"/>
          <w:szCs w:val="23"/>
          <w:lang w:eastAsia="en-GB"/>
        </w:rPr>
      </w:pPr>
      <w:r w:rsidRPr="004F3A06">
        <w:rPr>
          <w:sz w:val="23"/>
          <w:szCs w:val="23"/>
          <w:lang w:eastAsia="en-GB"/>
        </w:rPr>
        <w:t>The Hoovering of scrap metal from China has succumbed to the realities of the Global bust, and been replaced by the opened Spigot of Western largesse under the moniker of Quantitative Easing: this has accomplished the remarkable achievement of restoring the fecundity of those few Banks to have won the eye of the benevolent Mr. Bernanke, and the bonuses of their managers along with the seeming stability of the Western world. The Deadly sin of Envy, epitomised in Mr. Darling’s Budget review on 9 December, threatens to send those UK Bankers scurrying off-shore or off balance sheet; the Laffer Curve would be a more potent and worthwhile guide.</w:t>
      </w:r>
    </w:p>
    <w:p w:rsidR="00F95929" w:rsidRPr="004F3A06" w:rsidRDefault="00F95929" w:rsidP="00F95929">
      <w:pPr>
        <w:autoSpaceDE w:val="0"/>
        <w:autoSpaceDN w:val="0"/>
        <w:adjustRightInd w:val="0"/>
        <w:jc w:val="both"/>
        <w:rPr>
          <w:sz w:val="23"/>
          <w:szCs w:val="23"/>
          <w:lang w:eastAsia="en-GB"/>
        </w:rPr>
      </w:pPr>
    </w:p>
    <w:p w:rsidR="00F95929" w:rsidRPr="004F3A06" w:rsidRDefault="00F95929" w:rsidP="00F95929">
      <w:pPr>
        <w:autoSpaceDE w:val="0"/>
        <w:autoSpaceDN w:val="0"/>
        <w:adjustRightInd w:val="0"/>
        <w:jc w:val="both"/>
        <w:rPr>
          <w:sz w:val="23"/>
          <w:szCs w:val="23"/>
          <w:lang w:eastAsia="en-GB"/>
        </w:rPr>
      </w:pPr>
      <w:r w:rsidRPr="004F3A06">
        <w:rPr>
          <w:sz w:val="23"/>
          <w:szCs w:val="23"/>
          <w:lang w:eastAsia="en-GB"/>
        </w:rPr>
        <w:t>The pouches beneath the pelican beaks of the Banking and Automobile sectors have been filled to bursting with the largesse of governments, in Germany, the United States and Britain especially, and in consequence share prices have responded along with commodity prices.</w:t>
      </w:r>
    </w:p>
    <w:p w:rsidR="00F95929" w:rsidRPr="004F3A06" w:rsidRDefault="00F95929" w:rsidP="00F95929">
      <w:pPr>
        <w:autoSpaceDE w:val="0"/>
        <w:autoSpaceDN w:val="0"/>
        <w:adjustRightInd w:val="0"/>
        <w:jc w:val="both"/>
        <w:rPr>
          <w:sz w:val="23"/>
          <w:szCs w:val="23"/>
          <w:lang w:eastAsia="en-GB"/>
        </w:rPr>
      </w:pPr>
    </w:p>
    <w:p w:rsidR="00F95929" w:rsidRPr="004F3A06" w:rsidRDefault="00F95929" w:rsidP="00F95929">
      <w:pPr>
        <w:autoSpaceDE w:val="0"/>
        <w:autoSpaceDN w:val="0"/>
        <w:adjustRightInd w:val="0"/>
        <w:jc w:val="both"/>
        <w:rPr>
          <w:sz w:val="23"/>
          <w:szCs w:val="23"/>
          <w:lang w:eastAsia="en-GB"/>
        </w:rPr>
      </w:pPr>
      <w:r w:rsidRPr="004F3A06">
        <w:rPr>
          <w:sz w:val="23"/>
          <w:szCs w:val="23"/>
          <w:lang w:eastAsia="en-GB"/>
        </w:rPr>
        <w:t>Whilst car companies crush vehicles capable of millions of more miles, depriving the poorer sectors of society of the ‘trickle-down’ acquisition of a conveyance with their own cash rather than a company’s, real industries ignored in other areas struggle to survive; Iceland’s agreement to refund depositors of its failed Banks has a sinister resemblance to reparations after the defeat of Kaiser Bill; the British Government maintains its blithe insouciance towards any sort of fiscal or spending rectitude or restraint; at the same time as ostensibly having led the World out of its economic abyss.</w:t>
      </w:r>
    </w:p>
    <w:p w:rsidR="00F95929" w:rsidRPr="004F3A06" w:rsidRDefault="00F95929" w:rsidP="00F95929">
      <w:pPr>
        <w:autoSpaceDE w:val="0"/>
        <w:autoSpaceDN w:val="0"/>
        <w:adjustRightInd w:val="0"/>
        <w:jc w:val="both"/>
        <w:rPr>
          <w:sz w:val="23"/>
          <w:szCs w:val="23"/>
          <w:lang w:eastAsia="en-GB"/>
        </w:rPr>
      </w:pPr>
    </w:p>
    <w:p w:rsidR="00F95929" w:rsidRDefault="00F95929" w:rsidP="00F95929">
      <w:pPr>
        <w:autoSpaceDE w:val="0"/>
        <w:autoSpaceDN w:val="0"/>
        <w:adjustRightInd w:val="0"/>
        <w:jc w:val="both"/>
        <w:rPr>
          <w:sz w:val="23"/>
          <w:szCs w:val="23"/>
          <w:lang w:eastAsia="en-GB"/>
        </w:rPr>
      </w:pPr>
      <w:r w:rsidRPr="004F3A06">
        <w:rPr>
          <w:sz w:val="23"/>
          <w:szCs w:val="23"/>
          <w:lang w:eastAsia="en-GB"/>
        </w:rPr>
        <w:t>Sadly very little cash has filtered through to industry beyond the bounds of City Finance houses and before long the reality that this exercise has been a process of delaying and obstructing, rather than implementing recovery, will become apparent.</w:t>
      </w:r>
    </w:p>
    <w:p w:rsidR="004F3A06" w:rsidRDefault="004F3A06" w:rsidP="00F95929">
      <w:pPr>
        <w:autoSpaceDE w:val="0"/>
        <w:autoSpaceDN w:val="0"/>
        <w:adjustRightInd w:val="0"/>
        <w:jc w:val="both"/>
        <w:rPr>
          <w:sz w:val="23"/>
          <w:szCs w:val="23"/>
          <w:lang w:eastAsia="en-GB"/>
        </w:rPr>
      </w:pPr>
    </w:p>
    <w:p w:rsidR="004F3A06" w:rsidRPr="004F3A06" w:rsidRDefault="004F3A06" w:rsidP="00F95929">
      <w:pPr>
        <w:autoSpaceDE w:val="0"/>
        <w:autoSpaceDN w:val="0"/>
        <w:adjustRightInd w:val="0"/>
        <w:jc w:val="both"/>
        <w:rPr>
          <w:sz w:val="23"/>
          <w:szCs w:val="23"/>
          <w:lang w:eastAsia="en-GB"/>
        </w:rPr>
      </w:pPr>
    </w:p>
    <w:p w:rsidR="00F95929" w:rsidRPr="004F3A06" w:rsidRDefault="00F95929" w:rsidP="00F95929">
      <w:pPr>
        <w:autoSpaceDE w:val="0"/>
        <w:autoSpaceDN w:val="0"/>
        <w:adjustRightInd w:val="0"/>
        <w:jc w:val="both"/>
        <w:rPr>
          <w:sz w:val="23"/>
          <w:szCs w:val="23"/>
          <w:lang w:eastAsia="en-GB"/>
        </w:rPr>
      </w:pPr>
      <w:r w:rsidRPr="004F3A06">
        <w:rPr>
          <w:sz w:val="23"/>
          <w:szCs w:val="23"/>
          <w:lang w:eastAsia="en-GB"/>
        </w:rPr>
        <w:t>The recent decision of the Scottish legal system to display its contempt for justice for mass murderers, has shattered the credibility of that small but vocal element of Scottish society seeking to break the 300 year old Act of Union, and all the benefits it has brought to both nations. This has generated condemnation to its morose progenitor and comrade, and more devastatingly, on the head of Britain. As we were told apropos our Garden, by a delightful and frank German visitor: ‘It has all gone haywire’; sadly that is the state of Britain today. There is no sign of an end to this systematic and also deliberate destruction wreaked on our noble and once eminent land.</w:t>
      </w:r>
    </w:p>
    <w:p w:rsidR="00F95929" w:rsidRPr="004F3A06" w:rsidRDefault="00F95929" w:rsidP="00F95929">
      <w:pPr>
        <w:autoSpaceDE w:val="0"/>
        <w:autoSpaceDN w:val="0"/>
        <w:adjustRightInd w:val="0"/>
        <w:jc w:val="both"/>
        <w:rPr>
          <w:sz w:val="23"/>
          <w:szCs w:val="23"/>
          <w:lang w:eastAsia="en-GB"/>
        </w:rPr>
      </w:pPr>
    </w:p>
    <w:p w:rsidR="00F95929" w:rsidRPr="004F3A06" w:rsidRDefault="00F95929" w:rsidP="00F95929">
      <w:pPr>
        <w:autoSpaceDE w:val="0"/>
        <w:autoSpaceDN w:val="0"/>
        <w:adjustRightInd w:val="0"/>
        <w:jc w:val="both"/>
        <w:rPr>
          <w:sz w:val="23"/>
          <w:szCs w:val="23"/>
          <w:lang w:eastAsia="en-GB"/>
        </w:rPr>
      </w:pPr>
      <w:r w:rsidRPr="004F3A06">
        <w:rPr>
          <w:sz w:val="23"/>
          <w:szCs w:val="23"/>
          <w:lang w:eastAsia="en-GB"/>
        </w:rPr>
        <w:t>The Glades, Groves and Glens of the Lot Valley and Scottish Highlands are resounding to the cry of the chain</w:t>
      </w:r>
      <w:r w:rsidR="004F3A06" w:rsidRPr="004F3A06">
        <w:rPr>
          <w:sz w:val="23"/>
          <w:szCs w:val="23"/>
          <w:lang w:eastAsia="en-GB"/>
        </w:rPr>
        <w:t xml:space="preserve"> </w:t>
      </w:r>
      <w:r w:rsidRPr="004F3A06">
        <w:rPr>
          <w:sz w:val="23"/>
          <w:szCs w:val="23"/>
          <w:lang w:eastAsia="en-GB"/>
        </w:rPr>
        <w:t>saw as blue-clad woodsmen cleave and cut supplies for the forthcoming winter; snow sprinkles the hill-tops</w:t>
      </w:r>
      <w:r w:rsidR="004F3A06" w:rsidRPr="004F3A06">
        <w:rPr>
          <w:sz w:val="23"/>
          <w:szCs w:val="23"/>
          <w:lang w:eastAsia="en-GB"/>
        </w:rPr>
        <w:t xml:space="preserve"> </w:t>
      </w:r>
      <w:r w:rsidRPr="004F3A06">
        <w:rPr>
          <w:sz w:val="23"/>
          <w:szCs w:val="23"/>
          <w:lang w:eastAsia="en-GB"/>
        </w:rPr>
        <w:t>surrounding Fort William, giving an early indication of the need for preparation and foresight; the corridors of</w:t>
      </w:r>
      <w:r w:rsidR="004F3A06" w:rsidRPr="004F3A06">
        <w:rPr>
          <w:sz w:val="23"/>
          <w:szCs w:val="23"/>
          <w:lang w:eastAsia="en-GB"/>
        </w:rPr>
        <w:t xml:space="preserve"> </w:t>
      </w:r>
      <w:r w:rsidRPr="004F3A06">
        <w:rPr>
          <w:sz w:val="23"/>
          <w:szCs w:val="23"/>
          <w:lang w:eastAsia="en-GB"/>
        </w:rPr>
        <w:t>Whitehall, however, remain silent or rather echo to the tread of myriad feet, and the empire emanating beyond</w:t>
      </w:r>
      <w:r w:rsidR="004F3A06" w:rsidRPr="004F3A06">
        <w:rPr>
          <w:sz w:val="23"/>
          <w:szCs w:val="23"/>
          <w:lang w:eastAsia="en-GB"/>
        </w:rPr>
        <w:t xml:space="preserve"> </w:t>
      </w:r>
      <w:r w:rsidRPr="004F3A06">
        <w:rPr>
          <w:sz w:val="23"/>
          <w:szCs w:val="23"/>
          <w:lang w:eastAsia="en-GB"/>
        </w:rPr>
        <w:t>its walls remains untouched and untroubled by the silent and increasing throttle of excess: most private</w:t>
      </w:r>
      <w:r w:rsidR="004F3A06" w:rsidRPr="004F3A06">
        <w:rPr>
          <w:sz w:val="23"/>
          <w:szCs w:val="23"/>
          <w:lang w:eastAsia="en-GB"/>
        </w:rPr>
        <w:t xml:space="preserve"> </w:t>
      </w:r>
      <w:r w:rsidRPr="004F3A06">
        <w:rPr>
          <w:sz w:val="23"/>
          <w:szCs w:val="23"/>
          <w:lang w:eastAsia="en-GB"/>
        </w:rPr>
        <w:t>businesses have pared their expenses and reduced employee numbers and costs by as much as 20% or more.</w:t>
      </w:r>
    </w:p>
    <w:p w:rsidR="004F3A06" w:rsidRPr="004F3A06" w:rsidRDefault="004F3A06" w:rsidP="00F95929">
      <w:pPr>
        <w:autoSpaceDE w:val="0"/>
        <w:autoSpaceDN w:val="0"/>
        <w:adjustRightInd w:val="0"/>
        <w:jc w:val="both"/>
        <w:rPr>
          <w:sz w:val="23"/>
          <w:szCs w:val="23"/>
          <w:lang w:eastAsia="en-GB"/>
        </w:rPr>
      </w:pPr>
    </w:p>
    <w:p w:rsidR="00F95929" w:rsidRPr="004F3A06" w:rsidRDefault="00F95929" w:rsidP="00F95929">
      <w:pPr>
        <w:autoSpaceDE w:val="0"/>
        <w:autoSpaceDN w:val="0"/>
        <w:adjustRightInd w:val="0"/>
        <w:jc w:val="both"/>
        <w:rPr>
          <w:sz w:val="23"/>
          <w:szCs w:val="23"/>
          <w:lang w:eastAsia="en-GB"/>
        </w:rPr>
      </w:pPr>
      <w:r w:rsidRPr="004F3A06">
        <w:rPr>
          <w:sz w:val="23"/>
          <w:szCs w:val="23"/>
          <w:lang w:eastAsia="en-GB"/>
        </w:rPr>
        <w:t>Working for no or delayed pay, prevalent after the break-up of the Soviet Union, may not be so far from</w:t>
      </w:r>
      <w:r w:rsidR="004F3A06" w:rsidRPr="004F3A06">
        <w:rPr>
          <w:sz w:val="23"/>
          <w:szCs w:val="23"/>
          <w:lang w:eastAsia="en-GB"/>
        </w:rPr>
        <w:t xml:space="preserve"> </w:t>
      </w:r>
      <w:r w:rsidRPr="004F3A06">
        <w:rPr>
          <w:sz w:val="23"/>
          <w:szCs w:val="23"/>
          <w:lang w:eastAsia="en-GB"/>
        </w:rPr>
        <w:t>happening in Britain today, in anywhere other than the public sector. Sadly, the Minimum Wage will remain as</w:t>
      </w:r>
      <w:r w:rsidR="004F3A06" w:rsidRPr="004F3A06">
        <w:rPr>
          <w:sz w:val="23"/>
          <w:szCs w:val="23"/>
          <w:lang w:eastAsia="en-GB"/>
        </w:rPr>
        <w:t xml:space="preserve"> </w:t>
      </w:r>
      <w:r w:rsidRPr="004F3A06">
        <w:rPr>
          <w:sz w:val="23"/>
          <w:szCs w:val="23"/>
          <w:lang w:eastAsia="en-GB"/>
        </w:rPr>
        <w:t>an impassable ceiling for a huge swathe of today’s youth, and many check-out tills are now manned by</w:t>
      </w:r>
      <w:r w:rsidR="004F3A06" w:rsidRPr="004F3A06">
        <w:rPr>
          <w:sz w:val="23"/>
          <w:szCs w:val="23"/>
          <w:lang w:eastAsia="en-GB"/>
        </w:rPr>
        <w:t xml:space="preserve"> </w:t>
      </w:r>
      <w:r w:rsidRPr="004F3A06">
        <w:rPr>
          <w:sz w:val="23"/>
          <w:szCs w:val="23"/>
          <w:lang w:eastAsia="en-GB"/>
        </w:rPr>
        <w:t>graduates with impressive degrees.</w:t>
      </w:r>
    </w:p>
    <w:p w:rsidR="004F3A06" w:rsidRPr="004F3A06" w:rsidRDefault="004F3A06" w:rsidP="00F95929">
      <w:pPr>
        <w:autoSpaceDE w:val="0"/>
        <w:autoSpaceDN w:val="0"/>
        <w:adjustRightInd w:val="0"/>
        <w:jc w:val="both"/>
        <w:rPr>
          <w:sz w:val="23"/>
          <w:szCs w:val="23"/>
          <w:lang w:eastAsia="en-GB"/>
        </w:rPr>
      </w:pPr>
    </w:p>
    <w:p w:rsidR="00F95929" w:rsidRPr="004F3A06" w:rsidRDefault="00F95929" w:rsidP="00F95929">
      <w:pPr>
        <w:autoSpaceDE w:val="0"/>
        <w:autoSpaceDN w:val="0"/>
        <w:adjustRightInd w:val="0"/>
        <w:jc w:val="both"/>
        <w:rPr>
          <w:sz w:val="23"/>
          <w:szCs w:val="23"/>
          <w:lang w:eastAsia="en-GB"/>
        </w:rPr>
      </w:pPr>
      <w:r w:rsidRPr="004F3A06">
        <w:rPr>
          <w:sz w:val="23"/>
          <w:szCs w:val="23"/>
          <w:lang w:eastAsia="en-GB"/>
        </w:rPr>
        <w:t>The Brownian woolly Mammoth remains impervious to the reality of recession and the imperative urgency of</w:t>
      </w:r>
      <w:r w:rsidR="004F3A06" w:rsidRPr="004F3A06">
        <w:rPr>
          <w:sz w:val="23"/>
          <w:szCs w:val="23"/>
          <w:lang w:eastAsia="en-GB"/>
        </w:rPr>
        <w:t xml:space="preserve"> </w:t>
      </w:r>
      <w:r w:rsidRPr="004F3A06">
        <w:rPr>
          <w:sz w:val="23"/>
          <w:szCs w:val="23"/>
          <w:lang w:eastAsia="en-GB"/>
        </w:rPr>
        <w:t>cutting a bloated and life-sapping public sector. Though inching towards reality, the Conservatives also claim</w:t>
      </w:r>
      <w:r w:rsidR="004F3A06" w:rsidRPr="004F3A06">
        <w:rPr>
          <w:sz w:val="23"/>
          <w:szCs w:val="23"/>
          <w:lang w:eastAsia="en-GB"/>
        </w:rPr>
        <w:t xml:space="preserve"> </w:t>
      </w:r>
      <w:r w:rsidRPr="004F3A06">
        <w:rPr>
          <w:sz w:val="23"/>
          <w:szCs w:val="23"/>
          <w:lang w:eastAsia="en-GB"/>
        </w:rPr>
        <w:t>that no drastic cuts of the Maggie genre are intended. The hoped-for reclamation and rebuilding of the Euston</w:t>
      </w:r>
      <w:r w:rsidR="004F3A06" w:rsidRPr="004F3A06">
        <w:rPr>
          <w:sz w:val="23"/>
          <w:szCs w:val="23"/>
          <w:lang w:eastAsia="en-GB"/>
        </w:rPr>
        <w:t xml:space="preserve"> </w:t>
      </w:r>
      <w:r w:rsidRPr="004F3A06">
        <w:rPr>
          <w:sz w:val="23"/>
          <w:szCs w:val="23"/>
          <w:lang w:eastAsia="en-GB"/>
        </w:rPr>
        <w:t>Arch after its recovery from a hole in the River Lee (whither the River Lee?) may well serve, if accomplished</w:t>
      </w:r>
      <w:r w:rsidR="004F3A06" w:rsidRPr="004F3A06">
        <w:rPr>
          <w:sz w:val="23"/>
          <w:szCs w:val="23"/>
          <w:lang w:eastAsia="en-GB"/>
        </w:rPr>
        <w:t xml:space="preserve"> </w:t>
      </w:r>
      <w:r w:rsidRPr="004F3A06">
        <w:rPr>
          <w:sz w:val="23"/>
          <w:szCs w:val="23"/>
          <w:lang w:eastAsia="en-GB"/>
        </w:rPr>
        <w:t>in time, as the epitaph for the impending departure of calamity Brown.</w:t>
      </w:r>
    </w:p>
    <w:p w:rsidR="004F3A06" w:rsidRPr="004F3A06" w:rsidRDefault="004F3A06" w:rsidP="00F95929">
      <w:pPr>
        <w:autoSpaceDE w:val="0"/>
        <w:autoSpaceDN w:val="0"/>
        <w:adjustRightInd w:val="0"/>
        <w:jc w:val="both"/>
        <w:rPr>
          <w:sz w:val="23"/>
          <w:szCs w:val="23"/>
          <w:lang w:eastAsia="en-GB"/>
        </w:rPr>
      </w:pPr>
    </w:p>
    <w:p w:rsidR="00F95929" w:rsidRPr="004F3A06" w:rsidRDefault="00F95929" w:rsidP="00F95929">
      <w:pPr>
        <w:autoSpaceDE w:val="0"/>
        <w:autoSpaceDN w:val="0"/>
        <w:adjustRightInd w:val="0"/>
        <w:jc w:val="both"/>
        <w:rPr>
          <w:sz w:val="23"/>
          <w:szCs w:val="23"/>
          <w:lang w:eastAsia="en-GB"/>
        </w:rPr>
      </w:pPr>
      <w:r w:rsidRPr="004F3A06">
        <w:rPr>
          <w:sz w:val="23"/>
          <w:szCs w:val="23"/>
          <w:lang w:eastAsia="en-GB"/>
        </w:rPr>
        <w:t>The Saxon Gold discovery makes a very modest recompense for the amount sold 10 years ago from Britain’s</w:t>
      </w:r>
      <w:r w:rsidR="004F3A06" w:rsidRPr="004F3A06">
        <w:rPr>
          <w:sz w:val="23"/>
          <w:szCs w:val="23"/>
          <w:lang w:eastAsia="en-GB"/>
        </w:rPr>
        <w:t xml:space="preserve"> </w:t>
      </w:r>
      <w:r w:rsidRPr="004F3A06">
        <w:rPr>
          <w:sz w:val="23"/>
          <w:szCs w:val="23"/>
          <w:lang w:eastAsia="en-GB"/>
        </w:rPr>
        <w:t>Reserves, and proves the enduring value of that metal, though illustrating the difficulty of stopping it falling</w:t>
      </w:r>
      <w:r w:rsidR="004F3A06" w:rsidRPr="004F3A06">
        <w:rPr>
          <w:sz w:val="23"/>
          <w:szCs w:val="23"/>
          <w:lang w:eastAsia="en-GB"/>
        </w:rPr>
        <w:t xml:space="preserve"> </w:t>
      </w:r>
      <w:r w:rsidRPr="004F3A06">
        <w:rPr>
          <w:sz w:val="23"/>
          <w:szCs w:val="23"/>
          <w:lang w:eastAsia="en-GB"/>
        </w:rPr>
        <w:t>into the wrong hands (such as those of the former Chancellor, whom one suspects will not be seen clad in</w:t>
      </w:r>
      <w:r w:rsidR="004F3A06" w:rsidRPr="004F3A06">
        <w:rPr>
          <w:sz w:val="23"/>
          <w:szCs w:val="23"/>
          <w:lang w:eastAsia="en-GB"/>
        </w:rPr>
        <w:t xml:space="preserve"> </w:t>
      </w:r>
      <w:r w:rsidRPr="004F3A06">
        <w:rPr>
          <w:sz w:val="23"/>
          <w:szCs w:val="23"/>
          <w:lang w:eastAsia="en-GB"/>
        </w:rPr>
        <w:t>woad and rushes, clutching a metal detector, seeking to regain his lost loot).</w:t>
      </w:r>
    </w:p>
    <w:p w:rsidR="004F3A06" w:rsidRPr="004F3A06" w:rsidRDefault="004F3A06" w:rsidP="00F95929">
      <w:pPr>
        <w:autoSpaceDE w:val="0"/>
        <w:autoSpaceDN w:val="0"/>
        <w:adjustRightInd w:val="0"/>
        <w:jc w:val="both"/>
        <w:rPr>
          <w:sz w:val="23"/>
          <w:szCs w:val="23"/>
          <w:lang w:eastAsia="en-GB"/>
        </w:rPr>
      </w:pPr>
    </w:p>
    <w:p w:rsidR="00F95929" w:rsidRPr="004F3A06" w:rsidRDefault="00F95929" w:rsidP="00F95929">
      <w:pPr>
        <w:autoSpaceDE w:val="0"/>
        <w:autoSpaceDN w:val="0"/>
        <w:adjustRightInd w:val="0"/>
        <w:jc w:val="both"/>
        <w:rPr>
          <w:sz w:val="23"/>
          <w:szCs w:val="23"/>
          <w:lang w:eastAsia="en-GB"/>
        </w:rPr>
      </w:pPr>
      <w:r w:rsidRPr="004F3A06">
        <w:rPr>
          <w:sz w:val="23"/>
          <w:szCs w:val="23"/>
          <w:lang w:eastAsia="en-GB"/>
        </w:rPr>
        <w:t>The sight of Bankers’ Bonuses and London House Prices once again on the rebound is a cause for alarm and</w:t>
      </w:r>
      <w:r w:rsidR="004F3A06" w:rsidRPr="004F3A06">
        <w:rPr>
          <w:sz w:val="23"/>
          <w:szCs w:val="23"/>
          <w:lang w:eastAsia="en-GB"/>
        </w:rPr>
        <w:t xml:space="preserve"> </w:t>
      </w:r>
      <w:r w:rsidRPr="004F3A06">
        <w:rPr>
          <w:sz w:val="23"/>
          <w:szCs w:val="23"/>
          <w:lang w:eastAsia="en-GB"/>
        </w:rPr>
        <w:t>despondency, not encouragement and exhilaration. We have no gripe with rewards for money earned, but we</w:t>
      </w:r>
      <w:r w:rsidR="004F3A06" w:rsidRPr="004F3A06">
        <w:rPr>
          <w:sz w:val="23"/>
          <w:szCs w:val="23"/>
          <w:lang w:eastAsia="en-GB"/>
        </w:rPr>
        <w:t xml:space="preserve"> </w:t>
      </w:r>
      <w:r w:rsidRPr="004F3A06">
        <w:rPr>
          <w:sz w:val="23"/>
          <w:szCs w:val="23"/>
          <w:lang w:eastAsia="en-GB"/>
        </w:rPr>
        <w:t>would rather see it from our industrial sector, and across the</w:t>
      </w:r>
      <w:r w:rsidR="004F3A06" w:rsidRPr="004F3A06">
        <w:rPr>
          <w:sz w:val="23"/>
          <w:szCs w:val="23"/>
          <w:lang w:eastAsia="en-GB"/>
        </w:rPr>
        <w:t xml:space="preserve"> </w:t>
      </w:r>
      <w:r w:rsidRPr="004F3A06">
        <w:rPr>
          <w:sz w:val="23"/>
          <w:szCs w:val="23"/>
          <w:lang w:eastAsia="en-GB"/>
        </w:rPr>
        <w:t>broad base of British industry, than once again</w:t>
      </w:r>
      <w:r w:rsidR="004F3A06" w:rsidRPr="004F3A06">
        <w:rPr>
          <w:sz w:val="23"/>
          <w:szCs w:val="23"/>
          <w:lang w:eastAsia="en-GB"/>
        </w:rPr>
        <w:t xml:space="preserve"> </w:t>
      </w:r>
      <w:r w:rsidRPr="004F3A06">
        <w:rPr>
          <w:sz w:val="23"/>
          <w:szCs w:val="23"/>
          <w:lang w:eastAsia="en-GB"/>
        </w:rPr>
        <w:t>concentrated at the pinnacle of the Finance sector.</w:t>
      </w:r>
    </w:p>
    <w:p w:rsidR="004F3A06" w:rsidRPr="004F3A06" w:rsidRDefault="004F3A06" w:rsidP="00F95929">
      <w:pPr>
        <w:autoSpaceDE w:val="0"/>
        <w:autoSpaceDN w:val="0"/>
        <w:adjustRightInd w:val="0"/>
        <w:jc w:val="both"/>
        <w:rPr>
          <w:sz w:val="23"/>
          <w:szCs w:val="23"/>
          <w:lang w:eastAsia="en-GB"/>
        </w:rPr>
      </w:pPr>
    </w:p>
    <w:p w:rsidR="004F3A06" w:rsidRPr="004F3A06" w:rsidRDefault="00F95929" w:rsidP="00F95929">
      <w:pPr>
        <w:autoSpaceDE w:val="0"/>
        <w:autoSpaceDN w:val="0"/>
        <w:adjustRightInd w:val="0"/>
        <w:jc w:val="both"/>
        <w:rPr>
          <w:sz w:val="23"/>
          <w:szCs w:val="23"/>
          <w:lang w:eastAsia="en-GB"/>
        </w:rPr>
      </w:pPr>
      <w:r w:rsidRPr="004F3A06">
        <w:rPr>
          <w:sz w:val="23"/>
          <w:szCs w:val="23"/>
          <w:lang w:eastAsia="en-GB"/>
        </w:rPr>
        <w:t>We do not however, share Lord Turner’s sentiments, fluttering from his redundant citadel atop the Financial</w:t>
      </w:r>
      <w:r w:rsidR="004F3A06" w:rsidRPr="004F3A06">
        <w:rPr>
          <w:sz w:val="23"/>
          <w:szCs w:val="23"/>
          <w:lang w:eastAsia="en-GB"/>
        </w:rPr>
        <w:t xml:space="preserve"> </w:t>
      </w:r>
      <w:r w:rsidRPr="004F3A06">
        <w:rPr>
          <w:sz w:val="23"/>
          <w:szCs w:val="23"/>
          <w:lang w:eastAsia="en-GB"/>
        </w:rPr>
        <w:t>Services Authority, and his attempts to hobble and emasculate the city’s innovative and creative talent, rather</w:t>
      </w:r>
      <w:r w:rsidR="004F3A06" w:rsidRPr="004F3A06">
        <w:rPr>
          <w:sz w:val="23"/>
          <w:szCs w:val="23"/>
          <w:lang w:eastAsia="en-GB"/>
        </w:rPr>
        <w:t xml:space="preserve"> </w:t>
      </w:r>
      <w:r w:rsidRPr="004F3A06">
        <w:rPr>
          <w:sz w:val="23"/>
          <w:szCs w:val="23"/>
          <w:lang w:eastAsia="en-GB"/>
        </w:rPr>
        <w:t>than devising means of protecting the Retail Banks, their depositors and the tax payer. The memory of the</w:t>
      </w:r>
      <w:r w:rsidR="004F3A06" w:rsidRPr="004F3A06">
        <w:rPr>
          <w:sz w:val="23"/>
          <w:szCs w:val="23"/>
          <w:lang w:eastAsia="en-GB"/>
        </w:rPr>
        <w:t xml:space="preserve"> </w:t>
      </w:r>
      <w:r w:rsidRPr="004F3A06">
        <w:rPr>
          <w:sz w:val="23"/>
          <w:szCs w:val="23"/>
          <w:lang w:eastAsia="en-GB"/>
        </w:rPr>
        <w:t>demise of Barings, with its minimal effect on the economy other than its own shareholders, is obviously too</w:t>
      </w:r>
      <w:r w:rsidR="004F3A06" w:rsidRPr="004F3A06">
        <w:rPr>
          <w:sz w:val="23"/>
          <w:szCs w:val="23"/>
          <w:lang w:eastAsia="en-GB"/>
        </w:rPr>
        <w:t xml:space="preserve"> </w:t>
      </w:r>
      <w:r w:rsidRPr="004F3A06">
        <w:rPr>
          <w:sz w:val="23"/>
          <w:szCs w:val="23"/>
          <w:lang w:eastAsia="en-GB"/>
        </w:rPr>
        <w:t>distant to trouble the conscience of our new breed of regulators. Instead the Synecdochical sledgehammer is</w:t>
      </w:r>
      <w:r w:rsidR="004F3A06" w:rsidRPr="004F3A06">
        <w:rPr>
          <w:sz w:val="23"/>
          <w:szCs w:val="23"/>
          <w:lang w:eastAsia="en-GB"/>
        </w:rPr>
        <w:t xml:space="preserve"> </w:t>
      </w:r>
      <w:r w:rsidRPr="004F3A06">
        <w:rPr>
          <w:sz w:val="23"/>
          <w:szCs w:val="23"/>
          <w:lang w:eastAsia="en-GB"/>
        </w:rPr>
        <w:t>applied to the entire Banking system, to crack a problem created by a few uncontrolled innovators whose</w:t>
      </w:r>
      <w:r w:rsidR="004F3A06" w:rsidRPr="004F3A06">
        <w:rPr>
          <w:sz w:val="23"/>
          <w:szCs w:val="23"/>
          <w:lang w:eastAsia="en-GB"/>
        </w:rPr>
        <w:t xml:space="preserve"> </w:t>
      </w:r>
      <w:r w:rsidRPr="004F3A06">
        <w:rPr>
          <w:sz w:val="23"/>
          <w:szCs w:val="23"/>
          <w:lang w:eastAsia="en-GB"/>
        </w:rPr>
        <w:t>complex creations imploded long after their bonuses had been banked.</w:t>
      </w:r>
    </w:p>
    <w:p w:rsidR="004F3A06" w:rsidRPr="004F3A06" w:rsidRDefault="004F3A06" w:rsidP="00F95929">
      <w:pPr>
        <w:autoSpaceDE w:val="0"/>
        <w:autoSpaceDN w:val="0"/>
        <w:adjustRightInd w:val="0"/>
        <w:jc w:val="both"/>
        <w:rPr>
          <w:sz w:val="23"/>
          <w:szCs w:val="23"/>
          <w:lang w:eastAsia="en-GB"/>
        </w:rPr>
      </w:pPr>
    </w:p>
    <w:p w:rsidR="00F95929" w:rsidRPr="004F3A06" w:rsidRDefault="00F95929" w:rsidP="00F95929">
      <w:pPr>
        <w:autoSpaceDE w:val="0"/>
        <w:autoSpaceDN w:val="0"/>
        <w:adjustRightInd w:val="0"/>
        <w:jc w:val="both"/>
        <w:rPr>
          <w:sz w:val="23"/>
          <w:szCs w:val="23"/>
          <w:lang w:eastAsia="en-GB"/>
        </w:rPr>
      </w:pPr>
      <w:r w:rsidRPr="004F3A06">
        <w:rPr>
          <w:sz w:val="23"/>
          <w:szCs w:val="23"/>
          <w:lang w:eastAsia="en-GB"/>
        </w:rPr>
        <w:t>‘He who goes borrowing goes sorrowing’: Mr. Cheng, (head of China’s Green Energy drive), quoting Benjamin</w:t>
      </w:r>
      <w:r w:rsidR="004F3A06" w:rsidRPr="004F3A06">
        <w:rPr>
          <w:sz w:val="23"/>
          <w:szCs w:val="23"/>
          <w:lang w:eastAsia="en-GB"/>
        </w:rPr>
        <w:t xml:space="preserve"> </w:t>
      </w:r>
      <w:r w:rsidRPr="004F3A06">
        <w:rPr>
          <w:sz w:val="23"/>
          <w:szCs w:val="23"/>
          <w:lang w:eastAsia="en-GB"/>
        </w:rPr>
        <w:t>Franklin apropos fears of excessive US money printing. The abasement by our Government to the Green lobby</w:t>
      </w:r>
      <w:r w:rsidR="004F3A06" w:rsidRPr="004F3A06">
        <w:rPr>
          <w:sz w:val="23"/>
          <w:szCs w:val="23"/>
          <w:lang w:eastAsia="en-GB"/>
        </w:rPr>
        <w:t xml:space="preserve"> </w:t>
      </w:r>
      <w:r w:rsidRPr="004F3A06">
        <w:rPr>
          <w:sz w:val="23"/>
          <w:szCs w:val="23"/>
          <w:lang w:eastAsia="en-GB"/>
        </w:rPr>
        <w:t>and Europe, with the resultant closure of carbon fuelled power stations, without the simultaneous or prior</w:t>
      </w:r>
      <w:r w:rsidR="004F3A06" w:rsidRPr="004F3A06">
        <w:rPr>
          <w:sz w:val="23"/>
          <w:szCs w:val="23"/>
          <w:lang w:eastAsia="en-GB"/>
        </w:rPr>
        <w:t xml:space="preserve"> </w:t>
      </w:r>
      <w:r w:rsidRPr="004F3A06">
        <w:rPr>
          <w:sz w:val="23"/>
          <w:szCs w:val="23"/>
          <w:lang w:eastAsia="en-GB"/>
        </w:rPr>
        <w:t>construction of new Nuclear ones, jeopardises our own security and makes us hostage to the madman Gaddafi</w:t>
      </w:r>
      <w:r w:rsidR="004F3A06" w:rsidRPr="004F3A06">
        <w:rPr>
          <w:sz w:val="23"/>
          <w:szCs w:val="23"/>
          <w:lang w:eastAsia="en-GB"/>
        </w:rPr>
        <w:t xml:space="preserve"> </w:t>
      </w:r>
      <w:r w:rsidRPr="004F3A06">
        <w:rPr>
          <w:sz w:val="23"/>
          <w:szCs w:val="23"/>
          <w:lang w:eastAsia="en-GB"/>
        </w:rPr>
        <w:t>and his terrorist crew along with the truly ‘Socially Useless: regulators, bureaucrats and the State sector’,</w:t>
      </w:r>
      <w:r w:rsidR="004F3A06" w:rsidRPr="004F3A06">
        <w:rPr>
          <w:sz w:val="23"/>
          <w:szCs w:val="23"/>
          <w:lang w:eastAsia="en-GB"/>
        </w:rPr>
        <w:t xml:space="preserve"> </w:t>
      </w:r>
      <w:r w:rsidRPr="004F3A06">
        <w:rPr>
          <w:sz w:val="23"/>
          <w:szCs w:val="23"/>
          <w:lang w:eastAsia="en-GB"/>
        </w:rPr>
        <w:t>instead of being allied to wealth creators and innovators.</w:t>
      </w:r>
    </w:p>
    <w:p w:rsidR="00F95929" w:rsidRPr="004F3A06" w:rsidRDefault="00F95929" w:rsidP="00F95929">
      <w:pPr>
        <w:autoSpaceDE w:val="0"/>
        <w:autoSpaceDN w:val="0"/>
        <w:adjustRightInd w:val="0"/>
        <w:jc w:val="both"/>
        <w:rPr>
          <w:b/>
          <w:bCs/>
          <w:i/>
          <w:iCs/>
          <w:sz w:val="23"/>
          <w:szCs w:val="23"/>
          <w:lang w:eastAsia="en-GB"/>
        </w:rPr>
      </w:pPr>
    </w:p>
    <w:p w:rsidR="00F95929" w:rsidRPr="004F3A06" w:rsidRDefault="00F95929" w:rsidP="00F95929">
      <w:pPr>
        <w:autoSpaceDE w:val="0"/>
        <w:autoSpaceDN w:val="0"/>
        <w:adjustRightInd w:val="0"/>
        <w:jc w:val="both"/>
        <w:rPr>
          <w:sz w:val="23"/>
          <w:szCs w:val="23"/>
          <w:lang w:eastAsia="en-GB"/>
        </w:rPr>
      </w:pPr>
      <w:r w:rsidRPr="004F3A06">
        <w:rPr>
          <w:sz w:val="23"/>
          <w:szCs w:val="23"/>
          <w:lang w:eastAsia="en-GB"/>
        </w:rPr>
        <w:t>Happily for your portfolio, the Pub sector has to some extent stabilized, despite the obscene assaults on it by</w:t>
      </w:r>
      <w:r w:rsidR="004F3A06" w:rsidRPr="004F3A06">
        <w:rPr>
          <w:sz w:val="23"/>
          <w:szCs w:val="23"/>
          <w:lang w:eastAsia="en-GB"/>
        </w:rPr>
        <w:t xml:space="preserve"> </w:t>
      </w:r>
      <w:r w:rsidRPr="004F3A06">
        <w:rPr>
          <w:sz w:val="23"/>
          <w:szCs w:val="23"/>
          <w:lang w:eastAsia="en-GB"/>
        </w:rPr>
        <w:t>this pernicious Government, and stories and sights of an ever-increasing rate of closures. The swathe of</w:t>
      </w:r>
      <w:r w:rsidR="004F3A06" w:rsidRPr="004F3A06">
        <w:rPr>
          <w:sz w:val="23"/>
          <w:szCs w:val="23"/>
          <w:lang w:eastAsia="en-GB"/>
        </w:rPr>
        <w:t xml:space="preserve"> </w:t>
      </w:r>
      <w:r w:rsidRPr="004F3A06">
        <w:rPr>
          <w:sz w:val="23"/>
          <w:szCs w:val="23"/>
          <w:lang w:eastAsia="en-GB"/>
        </w:rPr>
        <w:t>boarded-up premises, and ‘For Sale’ signs sprinkled across the length and breadth of our fair land, on buildings</w:t>
      </w:r>
      <w:r w:rsidR="004F3A06" w:rsidRPr="004F3A06">
        <w:rPr>
          <w:sz w:val="23"/>
          <w:szCs w:val="23"/>
          <w:lang w:eastAsia="en-GB"/>
        </w:rPr>
        <w:t xml:space="preserve"> </w:t>
      </w:r>
      <w:r w:rsidRPr="004F3A06">
        <w:rPr>
          <w:sz w:val="23"/>
          <w:szCs w:val="23"/>
          <w:lang w:eastAsia="en-GB"/>
        </w:rPr>
        <w:t>both humble and distinguished, is truly appalling, being so very much wantonly inflicted by a Government</w:t>
      </w:r>
      <w:r w:rsidR="004F3A06" w:rsidRPr="004F3A06">
        <w:rPr>
          <w:sz w:val="23"/>
          <w:szCs w:val="23"/>
          <w:lang w:eastAsia="en-GB"/>
        </w:rPr>
        <w:t xml:space="preserve"> </w:t>
      </w:r>
      <w:r w:rsidRPr="004F3A06">
        <w:rPr>
          <w:sz w:val="23"/>
          <w:szCs w:val="23"/>
          <w:lang w:eastAsia="en-GB"/>
        </w:rPr>
        <w:t>with no concept of enterprise and devoid of wealth-creators and business builders. Yet another inquiry into the</w:t>
      </w:r>
      <w:r w:rsidR="004F3A06" w:rsidRPr="004F3A06">
        <w:rPr>
          <w:sz w:val="23"/>
          <w:szCs w:val="23"/>
          <w:lang w:eastAsia="en-GB"/>
        </w:rPr>
        <w:t xml:space="preserve"> </w:t>
      </w:r>
      <w:r w:rsidRPr="004F3A06">
        <w:rPr>
          <w:sz w:val="23"/>
          <w:szCs w:val="23"/>
          <w:lang w:eastAsia="en-GB"/>
        </w:rPr>
        <w:t>tie has achieved nothing and cost much, but the underlying strength of well-located pubs should uphold our</w:t>
      </w:r>
      <w:r w:rsidR="004F3A06" w:rsidRPr="004F3A06">
        <w:rPr>
          <w:sz w:val="23"/>
          <w:szCs w:val="23"/>
          <w:lang w:eastAsia="en-GB"/>
        </w:rPr>
        <w:t xml:space="preserve"> </w:t>
      </w:r>
      <w:r w:rsidRPr="004F3A06">
        <w:rPr>
          <w:sz w:val="23"/>
          <w:szCs w:val="23"/>
          <w:lang w:eastAsia="en-GB"/>
        </w:rPr>
        <w:t>holdings in the future. Happily several, especially Fullers and Youngs, show formidable strength.</w:t>
      </w:r>
    </w:p>
    <w:p w:rsidR="00F95929" w:rsidRPr="004F3A06" w:rsidRDefault="00F95929" w:rsidP="00F95929">
      <w:pPr>
        <w:autoSpaceDE w:val="0"/>
        <w:autoSpaceDN w:val="0"/>
        <w:adjustRightInd w:val="0"/>
        <w:jc w:val="both"/>
        <w:rPr>
          <w:sz w:val="23"/>
          <w:szCs w:val="23"/>
          <w:lang w:eastAsia="en-GB"/>
        </w:rPr>
      </w:pPr>
    </w:p>
    <w:p w:rsidR="00F95929" w:rsidRPr="004F3A06" w:rsidRDefault="00F95929" w:rsidP="00F95929">
      <w:pPr>
        <w:autoSpaceDE w:val="0"/>
        <w:autoSpaceDN w:val="0"/>
        <w:adjustRightInd w:val="0"/>
        <w:jc w:val="both"/>
        <w:rPr>
          <w:sz w:val="23"/>
          <w:szCs w:val="23"/>
          <w:lang w:eastAsia="en-GB"/>
        </w:rPr>
      </w:pPr>
      <w:r w:rsidRPr="004F3A06">
        <w:rPr>
          <w:sz w:val="23"/>
          <w:szCs w:val="23"/>
          <w:lang w:eastAsia="en-GB"/>
        </w:rPr>
        <w:t>Commercial Property has also appeared to stabilize, and risen from its lows since our year-end, and several perceptive investors have begun to reinvest in the sector. We would not expect gains from here to be rapid or substantial. The demise of Dubai, blindingly obvious in its excess to any other than those with sand in their eyes, is likely to further delay the recovery, if not accelerate an additional downturn.</w:t>
      </w:r>
    </w:p>
    <w:p w:rsidR="00F95929" w:rsidRPr="004F3A06" w:rsidRDefault="00F95929" w:rsidP="00F95929">
      <w:pPr>
        <w:autoSpaceDE w:val="0"/>
        <w:autoSpaceDN w:val="0"/>
        <w:adjustRightInd w:val="0"/>
        <w:jc w:val="both"/>
        <w:rPr>
          <w:sz w:val="23"/>
          <w:szCs w:val="23"/>
          <w:lang w:eastAsia="en-GB"/>
        </w:rPr>
      </w:pPr>
    </w:p>
    <w:p w:rsidR="00F95929" w:rsidRPr="004F3A06" w:rsidRDefault="00F95929" w:rsidP="00F95929">
      <w:pPr>
        <w:autoSpaceDE w:val="0"/>
        <w:autoSpaceDN w:val="0"/>
        <w:adjustRightInd w:val="0"/>
        <w:jc w:val="both"/>
        <w:rPr>
          <w:sz w:val="23"/>
          <w:szCs w:val="23"/>
          <w:lang w:eastAsia="en-GB"/>
        </w:rPr>
      </w:pPr>
      <w:r w:rsidRPr="004F3A06">
        <w:rPr>
          <w:sz w:val="23"/>
          <w:szCs w:val="23"/>
          <w:lang w:eastAsia="en-GB"/>
        </w:rPr>
        <w:t>Regrettably Kensington and Chelsea council have seen fit to approve a monstrous carbuncle adjacent to Cheval Place, whose views towards the Brompton Oratory and Natural History Museum are one of the sublime sights in London: this alongside an application for an all-night M Gentleman’s Club, an oxymoron if there ever was one.</w:t>
      </w:r>
    </w:p>
    <w:p w:rsidR="00F95929" w:rsidRPr="004F3A06" w:rsidRDefault="00F95929" w:rsidP="00F95929">
      <w:pPr>
        <w:autoSpaceDE w:val="0"/>
        <w:autoSpaceDN w:val="0"/>
        <w:adjustRightInd w:val="0"/>
        <w:jc w:val="both"/>
        <w:rPr>
          <w:sz w:val="23"/>
          <w:szCs w:val="23"/>
          <w:lang w:eastAsia="en-GB"/>
        </w:rPr>
      </w:pPr>
    </w:p>
    <w:p w:rsidR="00F95929" w:rsidRPr="004F3A06" w:rsidRDefault="00F95929" w:rsidP="00F95929">
      <w:pPr>
        <w:autoSpaceDE w:val="0"/>
        <w:autoSpaceDN w:val="0"/>
        <w:adjustRightInd w:val="0"/>
        <w:jc w:val="both"/>
        <w:rPr>
          <w:sz w:val="23"/>
          <w:szCs w:val="23"/>
          <w:lang w:eastAsia="en-GB"/>
        </w:rPr>
      </w:pPr>
      <w:r w:rsidRPr="004F3A06">
        <w:rPr>
          <w:sz w:val="23"/>
          <w:szCs w:val="23"/>
          <w:lang w:eastAsia="en-GB"/>
        </w:rPr>
        <w:t>The mining sector, decried amongst many investors as providing poor returns or a means of digging an item out of the ground only to store it there again with a guard at the top, has been for us the star performer.</w:t>
      </w:r>
    </w:p>
    <w:p w:rsidR="00F95929" w:rsidRPr="004F3A06" w:rsidRDefault="00F95929" w:rsidP="00F95929">
      <w:pPr>
        <w:autoSpaceDE w:val="0"/>
        <w:autoSpaceDN w:val="0"/>
        <w:adjustRightInd w:val="0"/>
        <w:jc w:val="both"/>
        <w:rPr>
          <w:sz w:val="23"/>
          <w:szCs w:val="23"/>
          <w:lang w:eastAsia="en-GB"/>
        </w:rPr>
      </w:pPr>
    </w:p>
    <w:p w:rsidR="00F95929" w:rsidRPr="004F3A06" w:rsidRDefault="00F95929" w:rsidP="00F95929">
      <w:pPr>
        <w:autoSpaceDE w:val="0"/>
        <w:autoSpaceDN w:val="0"/>
        <w:adjustRightInd w:val="0"/>
        <w:jc w:val="both"/>
        <w:rPr>
          <w:sz w:val="23"/>
          <w:szCs w:val="23"/>
          <w:lang w:eastAsia="en-GB"/>
        </w:rPr>
      </w:pPr>
      <w:r w:rsidRPr="004F3A06">
        <w:rPr>
          <w:sz w:val="23"/>
          <w:szCs w:val="23"/>
          <w:lang w:eastAsia="en-GB"/>
        </w:rPr>
        <w:t>Whether or not the Chinese recovery is sustainable, or the World economy genuinely recovering, metal prices have recovered almost across the board to levels thought to be almost unachievable only a few months earlier.</w:t>
      </w:r>
    </w:p>
    <w:p w:rsidR="00F95929" w:rsidRPr="004F3A06" w:rsidRDefault="00F95929" w:rsidP="00F95929">
      <w:pPr>
        <w:autoSpaceDE w:val="0"/>
        <w:autoSpaceDN w:val="0"/>
        <w:adjustRightInd w:val="0"/>
        <w:jc w:val="both"/>
        <w:rPr>
          <w:sz w:val="23"/>
          <w:szCs w:val="23"/>
          <w:lang w:eastAsia="en-GB"/>
        </w:rPr>
      </w:pPr>
    </w:p>
    <w:p w:rsidR="00F95929" w:rsidRPr="004F3A06" w:rsidRDefault="00F95929" w:rsidP="00F95929">
      <w:pPr>
        <w:autoSpaceDE w:val="0"/>
        <w:autoSpaceDN w:val="0"/>
        <w:adjustRightInd w:val="0"/>
        <w:jc w:val="both"/>
        <w:rPr>
          <w:sz w:val="23"/>
          <w:szCs w:val="23"/>
          <w:lang w:eastAsia="en-GB"/>
        </w:rPr>
      </w:pPr>
      <w:r w:rsidRPr="004F3A06">
        <w:rPr>
          <w:sz w:val="23"/>
          <w:szCs w:val="23"/>
          <w:lang w:eastAsia="en-GB"/>
        </w:rPr>
        <w:t>The Lodestone for us has been Gold, even though its performance has been exceeded by several other metals in its price such as Silver.</w:t>
      </w:r>
    </w:p>
    <w:p w:rsidR="00F95929" w:rsidRPr="004F3A06" w:rsidRDefault="00F95929" w:rsidP="00F95929">
      <w:pPr>
        <w:autoSpaceDE w:val="0"/>
        <w:autoSpaceDN w:val="0"/>
        <w:adjustRightInd w:val="0"/>
        <w:jc w:val="both"/>
        <w:rPr>
          <w:sz w:val="23"/>
          <w:szCs w:val="23"/>
          <w:lang w:eastAsia="en-GB"/>
        </w:rPr>
      </w:pPr>
    </w:p>
    <w:p w:rsidR="00F95929" w:rsidRPr="004F3A06" w:rsidRDefault="00F95929" w:rsidP="00F95929">
      <w:pPr>
        <w:autoSpaceDE w:val="0"/>
        <w:autoSpaceDN w:val="0"/>
        <w:adjustRightInd w:val="0"/>
        <w:jc w:val="both"/>
        <w:rPr>
          <w:sz w:val="23"/>
          <w:szCs w:val="23"/>
          <w:lang w:eastAsia="en-GB"/>
        </w:rPr>
      </w:pPr>
      <w:r w:rsidRPr="004F3A06">
        <w:rPr>
          <w:sz w:val="23"/>
          <w:szCs w:val="23"/>
          <w:lang w:eastAsia="en-GB"/>
        </w:rPr>
        <w:t>This comes as little surprise to those who have always believed that printed currencies have a life-cycle akin to that of a caterpillar, and reach a brief moment of glory as a butterfly before disappearing without trace. The Zimbabwean dollar is a case in point, where the introduction of a Rand/Dollar linked exchange has seen inflation fall to 6% from trillions, and the Zimbabwean dollar eliminated.</w:t>
      </w:r>
    </w:p>
    <w:p w:rsidR="00F95929" w:rsidRPr="004F3A06" w:rsidRDefault="00F95929" w:rsidP="00F95929">
      <w:pPr>
        <w:autoSpaceDE w:val="0"/>
        <w:autoSpaceDN w:val="0"/>
        <w:adjustRightInd w:val="0"/>
        <w:jc w:val="both"/>
        <w:rPr>
          <w:sz w:val="23"/>
          <w:szCs w:val="23"/>
          <w:lang w:eastAsia="en-GB"/>
        </w:rPr>
      </w:pPr>
    </w:p>
    <w:p w:rsidR="00F95929" w:rsidRPr="004F3A06" w:rsidRDefault="00F95929" w:rsidP="00F95929">
      <w:pPr>
        <w:autoSpaceDE w:val="0"/>
        <w:autoSpaceDN w:val="0"/>
        <w:adjustRightInd w:val="0"/>
        <w:jc w:val="both"/>
        <w:rPr>
          <w:sz w:val="23"/>
          <w:szCs w:val="23"/>
          <w:lang w:eastAsia="en-GB"/>
        </w:rPr>
      </w:pPr>
      <w:r w:rsidRPr="004F3A06">
        <w:rPr>
          <w:sz w:val="23"/>
          <w:szCs w:val="23"/>
          <w:lang w:eastAsia="en-GB"/>
        </w:rPr>
        <w:t>Gold at its present level above $1,000 per ounce makes a similar forecast for the future of the US$, not immediately, but inexorably and progressively. At some point the massive printing press unleashed by the Fed and its head, Mr. Bernanke, is likely to lead to a Dollar Demise, and even if current street protests against excessive spending by the Fed do not precipitate that day immediately, the continuing and accelerating loss of its purchasing power is inexorable.</w:t>
      </w:r>
    </w:p>
    <w:p w:rsidR="00F95929" w:rsidRPr="004F3A06" w:rsidRDefault="00F95929" w:rsidP="00F95929">
      <w:pPr>
        <w:autoSpaceDE w:val="0"/>
        <w:autoSpaceDN w:val="0"/>
        <w:adjustRightInd w:val="0"/>
        <w:jc w:val="both"/>
        <w:rPr>
          <w:sz w:val="23"/>
          <w:szCs w:val="23"/>
          <w:lang w:eastAsia="en-GB"/>
        </w:rPr>
      </w:pPr>
    </w:p>
    <w:p w:rsidR="00F95929" w:rsidRPr="004F3A06" w:rsidRDefault="00F95929" w:rsidP="00F95929">
      <w:pPr>
        <w:autoSpaceDE w:val="0"/>
        <w:autoSpaceDN w:val="0"/>
        <w:adjustRightInd w:val="0"/>
        <w:jc w:val="both"/>
        <w:rPr>
          <w:sz w:val="23"/>
          <w:szCs w:val="23"/>
          <w:lang w:eastAsia="en-GB"/>
        </w:rPr>
      </w:pPr>
      <w:r w:rsidRPr="004F3A06">
        <w:rPr>
          <w:sz w:val="23"/>
          <w:szCs w:val="23"/>
          <w:lang w:eastAsia="en-GB"/>
        </w:rPr>
        <w:t>We therefore take solace in our Gold positions, both physical and through our variety of companies located around the World.</w:t>
      </w:r>
    </w:p>
    <w:p w:rsidR="00F95929" w:rsidRPr="004F3A06" w:rsidRDefault="00F95929" w:rsidP="00F95929">
      <w:pPr>
        <w:autoSpaceDE w:val="0"/>
        <w:autoSpaceDN w:val="0"/>
        <w:adjustRightInd w:val="0"/>
        <w:jc w:val="both"/>
        <w:rPr>
          <w:sz w:val="23"/>
          <w:szCs w:val="23"/>
          <w:lang w:eastAsia="en-GB"/>
        </w:rPr>
      </w:pPr>
    </w:p>
    <w:p w:rsidR="00F95929" w:rsidRPr="004F3A06" w:rsidRDefault="00F95929" w:rsidP="00F95929">
      <w:pPr>
        <w:autoSpaceDE w:val="0"/>
        <w:autoSpaceDN w:val="0"/>
        <w:adjustRightInd w:val="0"/>
        <w:jc w:val="both"/>
        <w:rPr>
          <w:sz w:val="23"/>
          <w:szCs w:val="23"/>
          <w:lang w:eastAsia="en-GB"/>
        </w:rPr>
      </w:pPr>
      <w:r w:rsidRPr="004F3A06">
        <w:rPr>
          <w:sz w:val="23"/>
          <w:szCs w:val="23"/>
          <w:lang w:eastAsia="en-GB"/>
        </w:rPr>
        <w:t>It is pleasing to see the progress of Centamin in Egypt, and it is to be hoped the changes at Troy including the addition of your Chairman to the board, bode well for its future, and the development of its Argentine Gold Mine.  A retreat from current exalted heights in the gold price is only to be expected at some stage, but this would not give us cause for despair, and whilst ‘this time it is different’ will not pass our lips, we firmly believe that the long Gold Bear market has ended, and the trajectory is now firmly upwards.</w:t>
      </w:r>
    </w:p>
    <w:p w:rsidR="00F95929" w:rsidRPr="004F3A06" w:rsidRDefault="00F95929" w:rsidP="00F95929">
      <w:pPr>
        <w:autoSpaceDE w:val="0"/>
        <w:autoSpaceDN w:val="0"/>
        <w:adjustRightInd w:val="0"/>
        <w:jc w:val="both"/>
        <w:rPr>
          <w:sz w:val="23"/>
          <w:szCs w:val="23"/>
          <w:lang w:eastAsia="en-GB"/>
        </w:rPr>
      </w:pPr>
    </w:p>
    <w:p w:rsidR="00F95929" w:rsidRPr="004F3A06" w:rsidRDefault="00F95929" w:rsidP="00F95929">
      <w:pPr>
        <w:autoSpaceDE w:val="0"/>
        <w:autoSpaceDN w:val="0"/>
        <w:adjustRightInd w:val="0"/>
        <w:jc w:val="both"/>
        <w:rPr>
          <w:sz w:val="23"/>
          <w:szCs w:val="23"/>
          <w:lang w:eastAsia="en-GB"/>
        </w:rPr>
      </w:pPr>
      <w:r w:rsidRPr="004F3A06">
        <w:rPr>
          <w:sz w:val="23"/>
          <w:szCs w:val="23"/>
          <w:lang w:eastAsia="en-GB"/>
        </w:rPr>
        <w:t>The cynics and sceptics can sneer but our new Cupolas will be gilded in Gold bought at a price 4 times higher than ten years earlier, which will still prove to be cheap in years to come.</w:t>
      </w:r>
    </w:p>
    <w:p w:rsidR="00F95929" w:rsidRPr="004F3A06" w:rsidRDefault="00F95929" w:rsidP="00F95929">
      <w:pPr>
        <w:autoSpaceDE w:val="0"/>
        <w:autoSpaceDN w:val="0"/>
        <w:adjustRightInd w:val="0"/>
        <w:jc w:val="both"/>
        <w:rPr>
          <w:sz w:val="23"/>
          <w:szCs w:val="23"/>
          <w:lang w:eastAsia="en-GB"/>
        </w:rPr>
      </w:pPr>
    </w:p>
    <w:p w:rsidR="00F95929" w:rsidRPr="004F3A06" w:rsidRDefault="00F95929" w:rsidP="00F95929">
      <w:pPr>
        <w:autoSpaceDE w:val="0"/>
        <w:autoSpaceDN w:val="0"/>
        <w:adjustRightInd w:val="0"/>
        <w:jc w:val="both"/>
        <w:rPr>
          <w:sz w:val="23"/>
          <w:szCs w:val="23"/>
          <w:lang w:eastAsia="en-GB"/>
        </w:rPr>
      </w:pPr>
      <w:proofErr w:type="gramStart"/>
      <w:r w:rsidRPr="004F3A06">
        <w:rPr>
          <w:sz w:val="23"/>
          <w:szCs w:val="23"/>
          <w:lang w:eastAsia="en-GB"/>
        </w:rPr>
        <w:lastRenderedPageBreak/>
        <w:t>As Margaret Thatcher memorably remarked: ‘the problem with Socialism is that sooner or later you run out of other people’s money’.</w:t>
      </w:r>
      <w:proofErr w:type="gramEnd"/>
    </w:p>
    <w:p w:rsidR="00F95929" w:rsidRPr="004F3A06" w:rsidRDefault="00F95929" w:rsidP="00F95929">
      <w:pPr>
        <w:autoSpaceDE w:val="0"/>
        <w:autoSpaceDN w:val="0"/>
        <w:adjustRightInd w:val="0"/>
        <w:jc w:val="both"/>
        <w:rPr>
          <w:sz w:val="23"/>
          <w:szCs w:val="23"/>
          <w:lang w:eastAsia="en-GB"/>
        </w:rPr>
      </w:pPr>
    </w:p>
    <w:p w:rsidR="00F95929" w:rsidRPr="004F3A06" w:rsidRDefault="00F95929" w:rsidP="00F95929">
      <w:pPr>
        <w:autoSpaceDE w:val="0"/>
        <w:autoSpaceDN w:val="0"/>
        <w:adjustRightInd w:val="0"/>
        <w:jc w:val="both"/>
        <w:rPr>
          <w:sz w:val="23"/>
          <w:szCs w:val="23"/>
          <w:lang w:eastAsia="en-GB"/>
        </w:rPr>
      </w:pPr>
      <w:r w:rsidRPr="004F3A06">
        <w:rPr>
          <w:sz w:val="23"/>
          <w:szCs w:val="23"/>
          <w:lang w:eastAsia="en-GB"/>
        </w:rPr>
        <w:t>The Uxoricide committed by the Prime Minister on his previous wife, Prudence, after a long period of persecution, has brought that day perilously close in Britain, and the death-wish by politicians and postmen is dragging Britain ever closer to the precipice of National Bankruptcy, highlighted in a speech by the current head of the London School of Economics warning that Britain is living in a Fool’s Paradise. Far be it for us to demur from such a sagacious, acute and well-informed observer.</w:t>
      </w:r>
    </w:p>
    <w:p w:rsidR="00F95929" w:rsidRPr="004F3A06" w:rsidRDefault="00F95929" w:rsidP="00F95929">
      <w:pPr>
        <w:autoSpaceDE w:val="0"/>
        <w:autoSpaceDN w:val="0"/>
        <w:adjustRightInd w:val="0"/>
        <w:jc w:val="both"/>
        <w:rPr>
          <w:sz w:val="23"/>
          <w:szCs w:val="23"/>
          <w:lang w:eastAsia="en-GB"/>
        </w:rPr>
      </w:pPr>
    </w:p>
    <w:p w:rsidR="00F95929" w:rsidRPr="004F3A06" w:rsidRDefault="00F95929" w:rsidP="00F95929">
      <w:pPr>
        <w:autoSpaceDE w:val="0"/>
        <w:autoSpaceDN w:val="0"/>
        <w:adjustRightInd w:val="0"/>
        <w:jc w:val="both"/>
        <w:rPr>
          <w:sz w:val="23"/>
          <w:szCs w:val="23"/>
          <w:lang w:eastAsia="en-GB"/>
        </w:rPr>
      </w:pPr>
      <w:r w:rsidRPr="004F3A06">
        <w:rPr>
          <w:sz w:val="23"/>
          <w:szCs w:val="23"/>
          <w:lang w:eastAsia="en-GB"/>
        </w:rPr>
        <w:t>The disappearance of lavatory paper and mattresses from the shops of Cuba shows the power of Centrally planned economies to self-destruct, and perhaps light-bulbs of any wattage will soon share the same fate in England, on instructions from the former Communist Latvian apparatchik whose campaign has led to their being banned from sale in Europe. Lighting was never a strong point in Russian hotels, if our experience was anything to go by. That edict, together with the impending black-outs that will occur as a result of the British government’s agreed compliance with an EU instruction to close a large part of our Energy Generating capacity, will thus impair the ability of the subjugated citizens of the United Kingdom from reading yet more reams of regulations; a pertinent prelude to total darkness, whilst their houses are encased in ugliness to prevent heat escaping, and their views and improvements are taxed in case they have the temerity to enjoy the fruits of their endeavours.</w:t>
      </w:r>
    </w:p>
    <w:p w:rsidR="00F95929" w:rsidRPr="004F3A06" w:rsidRDefault="00F95929" w:rsidP="00F95929">
      <w:pPr>
        <w:autoSpaceDE w:val="0"/>
        <w:autoSpaceDN w:val="0"/>
        <w:adjustRightInd w:val="0"/>
        <w:jc w:val="both"/>
        <w:rPr>
          <w:sz w:val="23"/>
          <w:szCs w:val="23"/>
          <w:lang w:eastAsia="en-GB"/>
        </w:rPr>
      </w:pPr>
    </w:p>
    <w:p w:rsidR="00F95929" w:rsidRPr="004F3A06" w:rsidRDefault="00F95929" w:rsidP="00F95929">
      <w:pPr>
        <w:autoSpaceDE w:val="0"/>
        <w:autoSpaceDN w:val="0"/>
        <w:adjustRightInd w:val="0"/>
        <w:jc w:val="both"/>
        <w:rPr>
          <w:sz w:val="23"/>
          <w:szCs w:val="23"/>
          <w:lang w:eastAsia="en-GB"/>
        </w:rPr>
      </w:pPr>
      <w:r w:rsidRPr="004F3A06">
        <w:rPr>
          <w:sz w:val="23"/>
          <w:szCs w:val="23"/>
          <w:lang w:eastAsia="en-GB"/>
        </w:rPr>
        <w:t>Meanwhile Britain’s unelected leader continues leading Britain on the road to perdition aided by his Machiavellian master flitting from Russian yacht to the hospitality of hedge fund managers.</w:t>
      </w:r>
    </w:p>
    <w:p w:rsidR="00F95929" w:rsidRPr="004F3A06" w:rsidRDefault="00F95929" w:rsidP="00F95929">
      <w:pPr>
        <w:autoSpaceDE w:val="0"/>
        <w:autoSpaceDN w:val="0"/>
        <w:adjustRightInd w:val="0"/>
        <w:jc w:val="both"/>
        <w:rPr>
          <w:sz w:val="23"/>
          <w:szCs w:val="23"/>
          <w:lang w:eastAsia="en-GB"/>
        </w:rPr>
      </w:pPr>
    </w:p>
    <w:p w:rsidR="00F95929" w:rsidRPr="004F3A06" w:rsidRDefault="00F95929" w:rsidP="00F95929">
      <w:pPr>
        <w:autoSpaceDE w:val="0"/>
        <w:autoSpaceDN w:val="0"/>
        <w:adjustRightInd w:val="0"/>
        <w:jc w:val="both"/>
        <w:rPr>
          <w:sz w:val="23"/>
          <w:szCs w:val="23"/>
          <w:lang w:eastAsia="en-GB"/>
        </w:rPr>
      </w:pPr>
      <w:r w:rsidRPr="004F3A06">
        <w:rPr>
          <w:sz w:val="23"/>
          <w:szCs w:val="23"/>
          <w:lang w:eastAsia="en-GB"/>
        </w:rPr>
        <w:t>We noticed that the memoirs of Ronald Reagan, who brought Freedom to the Communist World, were on sale in Cazals, in the Lot valley, whilst President Obama’s memoirs are written before he becomes President, just as he wins the Nobel Peace Prize when in the midst of an unwinnable war he has endorsed. His only known achievement to date is to have swatted a fly. Not content with running the US car industry, he wishes to replicate the glories of the NHS and add health-care to the list of sectors under Government control in the United States.</w:t>
      </w:r>
    </w:p>
    <w:p w:rsidR="00F95929" w:rsidRPr="004F3A06" w:rsidRDefault="00F95929" w:rsidP="00F95929">
      <w:pPr>
        <w:autoSpaceDE w:val="0"/>
        <w:autoSpaceDN w:val="0"/>
        <w:adjustRightInd w:val="0"/>
        <w:jc w:val="both"/>
        <w:rPr>
          <w:sz w:val="23"/>
          <w:szCs w:val="23"/>
          <w:lang w:eastAsia="en-GB"/>
        </w:rPr>
      </w:pPr>
    </w:p>
    <w:p w:rsidR="00F95929" w:rsidRPr="004F3A06" w:rsidRDefault="00F95929" w:rsidP="00F95929">
      <w:pPr>
        <w:autoSpaceDE w:val="0"/>
        <w:autoSpaceDN w:val="0"/>
        <w:adjustRightInd w:val="0"/>
        <w:jc w:val="both"/>
        <w:rPr>
          <w:sz w:val="23"/>
          <w:szCs w:val="23"/>
          <w:lang w:eastAsia="en-GB"/>
        </w:rPr>
      </w:pPr>
      <w:r w:rsidRPr="004F3A06">
        <w:rPr>
          <w:sz w:val="23"/>
          <w:szCs w:val="23"/>
          <w:lang w:eastAsia="en-GB"/>
        </w:rPr>
        <w:t>Our scepticism of the ability of governments of any complexion to run a whelk store, let alone businesses of greater complexity, is profound and enduring: the example of Britain today, where businesses in our ken are replacing 2 receptionists with a screen monitor, yet the public sector is seen as sacrosanct from any sackings, is evidence of the dichotomy between people who pay and statists who receive.</w:t>
      </w:r>
    </w:p>
    <w:p w:rsidR="00F95929" w:rsidRPr="004F3A06" w:rsidRDefault="00F95929" w:rsidP="00F95929">
      <w:pPr>
        <w:autoSpaceDE w:val="0"/>
        <w:autoSpaceDN w:val="0"/>
        <w:adjustRightInd w:val="0"/>
        <w:jc w:val="both"/>
        <w:rPr>
          <w:sz w:val="23"/>
          <w:szCs w:val="23"/>
          <w:lang w:eastAsia="en-GB"/>
        </w:rPr>
      </w:pPr>
    </w:p>
    <w:p w:rsidR="00F95929" w:rsidRPr="004F3A06" w:rsidRDefault="00F95929" w:rsidP="00F95929">
      <w:pPr>
        <w:autoSpaceDE w:val="0"/>
        <w:autoSpaceDN w:val="0"/>
        <w:adjustRightInd w:val="0"/>
        <w:jc w:val="both"/>
        <w:rPr>
          <w:sz w:val="23"/>
          <w:szCs w:val="23"/>
          <w:lang w:eastAsia="en-GB"/>
        </w:rPr>
      </w:pPr>
      <w:r w:rsidRPr="004F3A06">
        <w:rPr>
          <w:sz w:val="23"/>
          <w:szCs w:val="23"/>
          <w:lang w:eastAsia="en-GB"/>
        </w:rPr>
        <w:t>We must extract ourselves from the European vipers’ nest of graft, grant and bureaucratic obstruction, especially at a time when the Irish have abandoned their hard-won independence for a mess of Soviet-style potage administered by the Brussels bureaucrats; thereby becoming indentured serfs in exchange for a promise of a miraculous recovery from the bust created by the Irish adherence to an absurdly inappropriate exchange and interest rate regime; thankfully they have avoided begging at the feet of the Emperor and Empress Blair, the perpetrator, in conjunction with his former accomplice in crime masquerading as Prime Minister, so deeply complicit in the humbling of Britain and woeful destruction of the British economy, not to mention its entire identity.</w:t>
      </w:r>
    </w:p>
    <w:p w:rsidR="00F95929" w:rsidRPr="004F3A06" w:rsidRDefault="00F95929" w:rsidP="00F95929">
      <w:pPr>
        <w:autoSpaceDE w:val="0"/>
        <w:autoSpaceDN w:val="0"/>
        <w:adjustRightInd w:val="0"/>
        <w:jc w:val="both"/>
        <w:rPr>
          <w:sz w:val="23"/>
          <w:szCs w:val="23"/>
          <w:lang w:eastAsia="en-GB"/>
        </w:rPr>
      </w:pPr>
    </w:p>
    <w:p w:rsidR="00F95929" w:rsidRPr="004F3A06" w:rsidRDefault="00F95929" w:rsidP="00F95929">
      <w:pPr>
        <w:autoSpaceDE w:val="0"/>
        <w:autoSpaceDN w:val="0"/>
        <w:adjustRightInd w:val="0"/>
        <w:jc w:val="both"/>
        <w:rPr>
          <w:sz w:val="23"/>
          <w:szCs w:val="23"/>
          <w:lang w:eastAsia="en-GB"/>
        </w:rPr>
      </w:pPr>
      <w:r w:rsidRPr="004F3A06">
        <w:rPr>
          <w:sz w:val="23"/>
          <w:szCs w:val="23"/>
          <w:lang w:eastAsia="en-GB"/>
        </w:rPr>
        <w:t>We rejoice not to see the prospect of this man strutting the European stage after enriching himself on the payroll of Banks and Government agencies, which together with ill-judged lending laws imposed by successive US governments sowed the seeds of the sub-prime collapse and the near-as-nothing bankrupting of the US and UK financial systems. The Blairs should withdraw from public life and enjoy their new status amongst the mega-rich, and leave the cauterising and shrinking of their state sector monoliths to a new generation.</w:t>
      </w:r>
    </w:p>
    <w:p w:rsidR="00F95929" w:rsidRPr="004F3A06" w:rsidRDefault="00F95929" w:rsidP="00F95929">
      <w:pPr>
        <w:autoSpaceDE w:val="0"/>
        <w:autoSpaceDN w:val="0"/>
        <w:adjustRightInd w:val="0"/>
        <w:jc w:val="both"/>
        <w:rPr>
          <w:sz w:val="23"/>
          <w:szCs w:val="23"/>
          <w:lang w:eastAsia="en-GB"/>
        </w:rPr>
      </w:pPr>
    </w:p>
    <w:p w:rsidR="00F95929" w:rsidRPr="004F3A06" w:rsidRDefault="00F95929" w:rsidP="00F95929">
      <w:pPr>
        <w:autoSpaceDE w:val="0"/>
        <w:autoSpaceDN w:val="0"/>
        <w:adjustRightInd w:val="0"/>
        <w:jc w:val="both"/>
        <w:rPr>
          <w:sz w:val="23"/>
          <w:szCs w:val="23"/>
          <w:lang w:eastAsia="en-GB"/>
        </w:rPr>
      </w:pPr>
      <w:r w:rsidRPr="004F3A06">
        <w:rPr>
          <w:sz w:val="23"/>
          <w:szCs w:val="23"/>
          <w:lang w:eastAsia="en-GB"/>
        </w:rPr>
        <w:t>The Belgian puppet will perform the further emasculation of Britain with notable anonymity, alongside his ex-CND colleague.</w:t>
      </w:r>
    </w:p>
    <w:p w:rsidR="00F95929" w:rsidRPr="004F3A06" w:rsidRDefault="00F95929" w:rsidP="00F95929">
      <w:pPr>
        <w:autoSpaceDE w:val="0"/>
        <w:autoSpaceDN w:val="0"/>
        <w:adjustRightInd w:val="0"/>
        <w:jc w:val="both"/>
        <w:rPr>
          <w:sz w:val="23"/>
          <w:szCs w:val="23"/>
          <w:lang w:eastAsia="en-GB"/>
        </w:rPr>
      </w:pPr>
    </w:p>
    <w:p w:rsidR="00F95929" w:rsidRPr="004F3A06" w:rsidRDefault="00F95929" w:rsidP="00F95929">
      <w:pPr>
        <w:autoSpaceDE w:val="0"/>
        <w:autoSpaceDN w:val="0"/>
        <w:adjustRightInd w:val="0"/>
        <w:jc w:val="both"/>
        <w:rPr>
          <w:sz w:val="23"/>
          <w:szCs w:val="23"/>
          <w:lang w:eastAsia="en-GB"/>
        </w:rPr>
      </w:pPr>
      <w:r w:rsidRPr="004F3A06">
        <w:rPr>
          <w:sz w:val="23"/>
          <w:szCs w:val="23"/>
          <w:lang w:eastAsia="en-GB"/>
        </w:rPr>
        <w:lastRenderedPageBreak/>
        <w:t>The semantic sophistry of the socialists and their suave sidekicks has finally proved as shallow and empty as the cynics always expected.</w:t>
      </w:r>
    </w:p>
    <w:p w:rsidR="00F95929" w:rsidRPr="004F3A06" w:rsidRDefault="00F95929" w:rsidP="00F95929">
      <w:pPr>
        <w:autoSpaceDE w:val="0"/>
        <w:autoSpaceDN w:val="0"/>
        <w:adjustRightInd w:val="0"/>
        <w:jc w:val="both"/>
        <w:rPr>
          <w:sz w:val="23"/>
          <w:szCs w:val="23"/>
          <w:lang w:eastAsia="en-GB"/>
        </w:rPr>
      </w:pPr>
    </w:p>
    <w:p w:rsidR="00F95929" w:rsidRPr="004F3A06" w:rsidRDefault="00F95929" w:rsidP="00F95929">
      <w:pPr>
        <w:autoSpaceDE w:val="0"/>
        <w:autoSpaceDN w:val="0"/>
        <w:adjustRightInd w:val="0"/>
        <w:jc w:val="both"/>
        <w:rPr>
          <w:sz w:val="23"/>
          <w:szCs w:val="23"/>
          <w:lang w:eastAsia="en-GB"/>
        </w:rPr>
      </w:pPr>
      <w:r w:rsidRPr="004F3A06">
        <w:rPr>
          <w:sz w:val="23"/>
          <w:szCs w:val="23"/>
          <w:lang w:eastAsia="en-GB"/>
        </w:rPr>
        <w:t>Meanwhile the new ‘Nattering Nabobs of Negativism,’ (apologies to the late William Safire) opine from their European or Shadow Ministerial positions that the Lisbon Treaty is now a fait accompli and for the UK to vote on it would be an absurdity: no more absurd than their constant support for this corrupt venal bloated unresponsive and deeply undemocratic organisation which has done so much damage to Britain over the years, and cost her so much.</w:t>
      </w:r>
    </w:p>
    <w:p w:rsidR="00F95929" w:rsidRPr="004F3A06" w:rsidRDefault="00F95929" w:rsidP="00F95929">
      <w:pPr>
        <w:autoSpaceDE w:val="0"/>
        <w:autoSpaceDN w:val="0"/>
        <w:adjustRightInd w:val="0"/>
        <w:jc w:val="both"/>
        <w:rPr>
          <w:sz w:val="23"/>
          <w:szCs w:val="23"/>
          <w:lang w:eastAsia="en-GB"/>
        </w:rPr>
      </w:pPr>
      <w:r w:rsidRPr="004F3A06">
        <w:rPr>
          <w:sz w:val="23"/>
          <w:szCs w:val="23"/>
          <w:lang w:eastAsia="en-GB"/>
        </w:rPr>
        <w:t xml:space="preserve">It is to be fervently hoped that the Cameroon will put the interests of the people of Britain above those of the polyglot European elite, and remove the shackles that have throttled the fishing industry, decimated our agriculture, hastened the collapse of the postal service, and now threaten our Financial Services sector, amongst other follies. Indeed the Alternative Investment Fund Managers Directive poses a very real threat to our continued existence, along with that of other closed–end Funds, managed in-house; an assault directed from Europe by those with envious eyes on our long-established and mostly blameless and beneficial Investment Trust and similar sector. It is very much to be hoped that Boris Johnson’s defence of the hedge Fund Sector will extend to this less-strident and fee-sapping sector. Where the supposed benefit bestowed by the EU resides is beyond the comprehension of </w:t>
      </w:r>
      <w:proofErr w:type="gramStart"/>
      <w:r w:rsidRPr="004F3A06">
        <w:rPr>
          <w:sz w:val="23"/>
          <w:szCs w:val="23"/>
          <w:lang w:eastAsia="en-GB"/>
        </w:rPr>
        <w:t>ourselves</w:t>
      </w:r>
      <w:proofErr w:type="gramEnd"/>
      <w:r w:rsidRPr="004F3A06">
        <w:rPr>
          <w:sz w:val="23"/>
          <w:szCs w:val="23"/>
          <w:lang w:eastAsia="en-GB"/>
        </w:rPr>
        <w:t xml:space="preserve"> and one suspects many others.</w:t>
      </w:r>
    </w:p>
    <w:p w:rsidR="00F95929" w:rsidRPr="004F3A06" w:rsidRDefault="00F95929" w:rsidP="00F95929">
      <w:pPr>
        <w:autoSpaceDE w:val="0"/>
        <w:autoSpaceDN w:val="0"/>
        <w:adjustRightInd w:val="0"/>
        <w:jc w:val="both"/>
        <w:rPr>
          <w:sz w:val="23"/>
          <w:szCs w:val="23"/>
          <w:lang w:eastAsia="en-GB"/>
        </w:rPr>
      </w:pPr>
    </w:p>
    <w:p w:rsidR="00F95929" w:rsidRPr="004F3A06" w:rsidRDefault="00F95929" w:rsidP="00F95929">
      <w:pPr>
        <w:autoSpaceDE w:val="0"/>
        <w:autoSpaceDN w:val="0"/>
        <w:adjustRightInd w:val="0"/>
        <w:jc w:val="both"/>
        <w:rPr>
          <w:sz w:val="23"/>
          <w:szCs w:val="23"/>
          <w:lang w:eastAsia="en-GB"/>
        </w:rPr>
      </w:pPr>
      <w:r w:rsidRPr="004F3A06">
        <w:rPr>
          <w:sz w:val="23"/>
          <w:szCs w:val="23"/>
          <w:lang w:eastAsia="en-GB"/>
        </w:rPr>
        <w:t>Rowan berries are striking in Scarlet abundance, perhaps presaging a Cold winter, yet the UK’s coffers are bare, nothing having been put aside for harder times: the giving of foreign aid (endorsed by both parties, and encouraged by the incessantly implausible Bono is ‘a transfer of assets from poor people in rich countries to rich people in poor countries’); even the more erudite and observant Africans now question its efficacy, whilst a casual glance at any of the main beneficiaries would confirm that it achieves the very opposite of that intended, spawning a vast industry of conferences and well-equipped cars and offices, whilst individual and private efforts, carefully administered, do infinitely more good. Today’s snow in Southern England coincides with yet more largesse to the warmer and less productive parts of the world from the two countries with the largest deficits.</w:t>
      </w:r>
    </w:p>
    <w:p w:rsidR="00F95929" w:rsidRPr="004F3A06" w:rsidRDefault="00F95929" w:rsidP="00F95929">
      <w:pPr>
        <w:autoSpaceDE w:val="0"/>
        <w:autoSpaceDN w:val="0"/>
        <w:adjustRightInd w:val="0"/>
        <w:jc w:val="both"/>
        <w:rPr>
          <w:sz w:val="23"/>
          <w:szCs w:val="23"/>
          <w:lang w:eastAsia="en-GB"/>
        </w:rPr>
      </w:pPr>
    </w:p>
    <w:p w:rsidR="00F95929" w:rsidRPr="004F3A06" w:rsidRDefault="00F95929" w:rsidP="00F95929">
      <w:pPr>
        <w:autoSpaceDE w:val="0"/>
        <w:autoSpaceDN w:val="0"/>
        <w:adjustRightInd w:val="0"/>
        <w:jc w:val="both"/>
        <w:rPr>
          <w:b/>
          <w:bCs/>
          <w:sz w:val="23"/>
          <w:szCs w:val="23"/>
          <w:lang w:eastAsia="en-GB"/>
        </w:rPr>
      </w:pPr>
      <w:r w:rsidRPr="004F3A06">
        <w:rPr>
          <w:b/>
          <w:bCs/>
          <w:sz w:val="23"/>
          <w:szCs w:val="23"/>
          <w:lang w:eastAsia="en-GB"/>
        </w:rPr>
        <w:t>Outlook</w:t>
      </w:r>
    </w:p>
    <w:p w:rsidR="00F95929" w:rsidRPr="004F3A06" w:rsidRDefault="00F95929" w:rsidP="00F95929">
      <w:pPr>
        <w:autoSpaceDE w:val="0"/>
        <w:autoSpaceDN w:val="0"/>
        <w:adjustRightInd w:val="0"/>
        <w:jc w:val="both"/>
        <w:rPr>
          <w:sz w:val="23"/>
          <w:szCs w:val="23"/>
          <w:lang w:eastAsia="en-GB"/>
        </w:rPr>
      </w:pPr>
      <w:r w:rsidRPr="004F3A06">
        <w:rPr>
          <w:sz w:val="23"/>
          <w:szCs w:val="23"/>
          <w:lang w:eastAsia="en-GB"/>
        </w:rPr>
        <w:t>Impending disaster may well have been averted for now, in which case our wide spread of investments will benefit; should all hell break loose, Gold will come to our rescue, and proven assets which underlie many of our holdings will be our mainstay.</w:t>
      </w:r>
    </w:p>
    <w:p w:rsidR="00F95929" w:rsidRPr="004F3A06" w:rsidRDefault="00F95929" w:rsidP="00F95929">
      <w:pPr>
        <w:autoSpaceDE w:val="0"/>
        <w:autoSpaceDN w:val="0"/>
        <w:adjustRightInd w:val="0"/>
        <w:jc w:val="both"/>
        <w:rPr>
          <w:sz w:val="23"/>
          <w:szCs w:val="23"/>
          <w:lang w:eastAsia="en-GB"/>
        </w:rPr>
      </w:pPr>
    </w:p>
    <w:p w:rsidR="004F3A06" w:rsidRPr="004F3A06" w:rsidRDefault="00F95929" w:rsidP="00F95929">
      <w:pPr>
        <w:autoSpaceDE w:val="0"/>
        <w:autoSpaceDN w:val="0"/>
        <w:adjustRightInd w:val="0"/>
        <w:jc w:val="both"/>
        <w:rPr>
          <w:sz w:val="23"/>
          <w:szCs w:val="23"/>
          <w:lang w:eastAsia="en-GB"/>
        </w:rPr>
      </w:pPr>
      <w:r w:rsidRPr="004F3A06">
        <w:rPr>
          <w:sz w:val="23"/>
          <w:szCs w:val="23"/>
          <w:lang w:eastAsia="en-GB"/>
        </w:rPr>
        <w:t>My thanks are due to the effervescent team at Cheval Place, rising to the challenge during a period of significant change and turbulent times; now assisted with an eye on potential new areas by Melwin Mehta from the Indian sub-continent; our new secretaries in Guernsey, Capita and especially Julian Lane; our advisers with their regular and valued reassurance and advice, and my fellow directors, in all their wisdom and insight.</w:t>
      </w:r>
    </w:p>
    <w:p w:rsidR="004F3A06" w:rsidRPr="004F3A06" w:rsidRDefault="004F3A06" w:rsidP="00F95929">
      <w:pPr>
        <w:autoSpaceDE w:val="0"/>
        <w:autoSpaceDN w:val="0"/>
        <w:adjustRightInd w:val="0"/>
        <w:jc w:val="both"/>
        <w:rPr>
          <w:sz w:val="23"/>
          <w:szCs w:val="23"/>
          <w:lang w:eastAsia="en-GB"/>
        </w:rPr>
      </w:pPr>
    </w:p>
    <w:p w:rsidR="00F95929" w:rsidRPr="004F3A06" w:rsidRDefault="00F95929" w:rsidP="00F95929">
      <w:pPr>
        <w:autoSpaceDE w:val="0"/>
        <w:autoSpaceDN w:val="0"/>
        <w:adjustRightInd w:val="0"/>
        <w:jc w:val="both"/>
        <w:rPr>
          <w:b/>
          <w:bCs/>
          <w:sz w:val="23"/>
          <w:szCs w:val="23"/>
          <w:lang w:eastAsia="en-GB"/>
        </w:rPr>
      </w:pPr>
      <w:r w:rsidRPr="004F3A06">
        <w:rPr>
          <w:b/>
          <w:bCs/>
          <w:sz w:val="23"/>
          <w:szCs w:val="23"/>
          <w:lang w:eastAsia="en-GB"/>
        </w:rPr>
        <w:t>C Robin Woodbine Parish</w:t>
      </w:r>
    </w:p>
    <w:p w:rsidR="00185A91" w:rsidRPr="004F3A06" w:rsidRDefault="00F95929" w:rsidP="00F95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3"/>
          <w:szCs w:val="23"/>
        </w:rPr>
      </w:pPr>
      <w:r w:rsidRPr="004F3A06">
        <w:rPr>
          <w:sz w:val="23"/>
          <w:szCs w:val="23"/>
          <w:lang w:eastAsia="en-GB"/>
        </w:rPr>
        <w:t>Chairman</w:t>
      </w:r>
    </w:p>
    <w:p w:rsidR="00F95929" w:rsidRPr="004F3A06" w:rsidRDefault="00F95929" w:rsidP="00F95929">
      <w:pPr>
        <w:jc w:val="both"/>
        <w:rPr>
          <w:b/>
          <w:bCs/>
          <w:sz w:val="23"/>
          <w:szCs w:val="23"/>
        </w:rPr>
      </w:pPr>
    </w:p>
    <w:p w:rsidR="004F3A06" w:rsidRDefault="004F3A06">
      <w:pPr>
        <w:rPr>
          <w:b/>
          <w:bCs/>
          <w:sz w:val="22"/>
          <w:szCs w:val="22"/>
        </w:rPr>
      </w:pPr>
      <w:r>
        <w:rPr>
          <w:b/>
          <w:bCs/>
          <w:sz w:val="22"/>
          <w:szCs w:val="22"/>
        </w:rPr>
        <w:br w:type="page"/>
      </w:r>
    </w:p>
    <w:p w:rsidR="00FE16B2" w:rsidRPr="00FE16B2" w:rsidRDefault="00FE16B2" w:rsidP="00FE16B2">
      <w:pPr>
        <w:rPr>
          <w:b/>
          <w:bCs/>
          <w:sz w:val="22"/>
          <w:szCs w:val="22"/>
        </w:rPr>
      </w:pPr>
      <w:r>
        <w:rPr>
          <w:b/>
          <w:bCs/>
          <w:sz w:val="22"/>
          <w:szCs w:val="22"/>
        </w:rPr>
        <w:lastRenderedPageBreak/>
        <w:t>CONSOLIDATED INCOME STATEMENT</w:t>
      </w:r>
    </w:p>
    <w:p w:rsidR="00FE16B2" w:rsidRPr="00FE16B2" w:rsidRDefault="00FE16B2" w:rsidP="00FE16B2">
      <w:pPr>
        <w:spacing w:line="312" w:lineRule="auto"/>
        <w:rPr>
          <w:spacing w:val="2"/>
          <w:sz w:val="18"/>
          <w:szCs w:val="18"/>
        </w:rPr>
      </w:pPr>
      <w:r w:rsidRPr="00FE16B2">
        <w:rPr>
          <w:spacing w:val="2"/>
          <w:sz w:val="18"/>
          <w:szCs w:val="18"/>
        </w:rPr>
        <w:t>For the year ended to 30 June 2009</w:t>
      </w:r>
    </w:p>
    <w:tbl>
      <w:tblPr>
        <w:tblW w:w="10248" w:type="dxa"/>
        <w:tblInd w:w="108" w:type="dxa"/>
        <w:tblLook w:val="04A0"/>
      </w:tblPr>
      <w:tblGrid>
        <w:gridCol w:w="5529"/>
        <w:gridCol w:w="360"/>
        <w:gridCol w:w="1057"/>
        <w:gridCol w:w="284"/>
        <w:gridCol w:w="176"/>
        <w:gridCol w:w="247"/>
        <w:gridCol w:w="1451"/>
        <w:gridCol w:w="110"/>
        <w:gridCol w:w="172"/>
        <w:gridCol w:w="862"/>
      </w:tblGrid>
      <w:tr w:rsidR="005D74BA" w:rsidRPr="005D74BA" w:rsidTr="005D74BA">
        <w:trPr>
          <w:gridAfter w:val="2"/>
          <w:wAfter w:w="1034" w:type="dxa"/>
          <w:trHeight w:hRule="exact" w:val="227"/>
        </w:trPr>
        <w:tc>
          <w:tcPr>
            <w:tcW w:w="5529" w:type="dxa"/>
            <w:tcBorders>
              <w:top w:val="nil"/>
              <w:left w:val="nil"/>
              <w:bottom w:val="nil"/>
              <w:right w:val="nil"/>
            </w:tcBorders>
            <w:shd w:val="clear" w:color="auto" w:fill="auto"/>
            <w:noWrap/>
            <w:vAlign w:val="bottom"/>
            <w:hideMark/>
          </w:tcPr>
          <w:p w:rsidR="005D74BA" w:rsidRPr="005D74BA" w:rsidRDefault="005D74BA" w:rsidP="00FE16B2">
            <w:pPr>
              <w:rPr>
                <w:sz w:val="18"/>
                <w:szCs w:val="18"/>
                <w:lang w:eastAsia="en-GB"/>
              </w:rPr>
            </w:pPr>
          </w:p>
        </w:tc>
        <w:tc>
          <w:tcPr>
            <w:tcW w:w="1417" w:type="dxa"/>
            <w:gridSpan w:val="2"/>
            <w:tcBorders>
              <w:top w:val="nil"/>
              <w:left w:val="nil"/>
              <w:bottom w:val="nil"/>
              <w:right w:val="nil"/>
            </w:tcBorders>
            <w:shd w:val="clear" w:color="auto" w:fill="auto"/>
            <w:noWrap/>
            <w:vAlign w:val="bottom"/>
            <w:hideMark/>
          </w:tcPr>
          <w:p w:rsidR="005D74BA" w:rsidRPr="005D74BA" w:rsidRDefault="005D74BA" w:rsidP="00FE16B2">
            <w:pPr>
              <w:jc w:val="right"/>
              <w:rPr>
                <w:b/>
                <w:bCs/>
                <w:sz w:val="18"/>
                <w:szCs w:val="18"/>
                <w:lang w:eastAsia="en-GB"/>
              </w:rPr>
            </w:pPr>
          </w:p>
        </w:tc>
        <w:tc>
          <w:tcPr>
            <w:tcW w:w="284" w:type="dxa"/>
            <w:tcBorders>
              <w:top w:val="nil"/>
              <w:left w:val="nil"/>
              <w:bottom w:val="nil"/>
              <w:right w:val="nil"/>
            </w:tcBorders>
            <w:shd w:val="clear" w:color="auto" w:fill="auto"/>
            <w:noWrap/>
            <w:vAlign w:val="bottom"/>
            <w:hideMark/>
          </w:tcPr>
          <w:p w:rsidR="005D74BA" w:rsidRPr="005D74BA" w:rsidRDefault="005D74BA" w:rsidP="00FE16B2">
            <w:pPr>
              <w:jc w:val="right"/>
              <w:rPr>
                <w:sz w:val="18"/>
                <w:szCs w:val="18"/>
                <w:lang w:eastAsia="en-GB"/>
              </w:rPr>
            </w:pPr>
          </w:p>
        </w:tc>
        <w:tc>
          <w:tcPr>
            <w:tcW w:w="1984" w:type="dxa"/>
            <w:gridSpan w:val="4"/>
            <w:tcBorders>
              <w:top w:val="nil"/>
              <w:left w:val="nil"/>
              <w:bottom w:val="nil"/>
              <w:right w:val="nil"/>
            </w:tcBorders>
            <w:shd w:val="clear" w:color="auto" w:fill="auto"/>
            <w:noWrap/>
            <w:vAlign w:val="bottom"/>
            <w:hideMark/>
          </w:tcPr>
          <w:p w:rsidR="005D74BA" w:rsidRPr="005D74BA" w:rsidRDefault="005D74BA" w:rsidP="00FE16B2">
            <w:pPr>
              <w:jc w:val="right"/>
              <w:rPr>
                <w:b/>
                <w:sz w:val="18"/>
                <w:szCs w:val="18"/>
                <w:lang w:eastAsia="en-GB"/>
              </w:rPr>
            </w:pPr>
            <w:r w:rsidRPr="005D74BA">
              <w:rPr>
                <w:bCs/>
                <w:sz w:val="18"/>
                <w:szCs w:val="18"/>
                <w:vertAlign w:val="superscript"/>
              </w:rPr>
              <w:t xml:space="preserve">* </w:t>
            </w:r>
            <w:r w:rsidRPr="005D74BA">
              <w:rPr>
                <w:b/>
                <w:sz w:val="18"/>
                <w:szCs w:val="18"/>
                <w:lang w:eastAsia="en-GB"/>
              </w:rPr>
              <w:t>Restated</w:t>
            </w:r>
          </w:p>
          <w:p w:rsidR="005D74BA" w:rsidRPr="005D74BA" w:rsidRDefault="005D74BA" w:rsidP="00FE16B2">
            <w:pPr>
              <w:jc w:val="right"/>
              <w:rPr>
                <w:sz w:val="18"/>
                <w:szCs w:val="18"/>
                <w:lang w:eastAsia="en-GB"/>
              </w:rPr>
            </w:pPr>
          </w:p>
        </w:tc>
      </w:tr>
      <w:tr w:rsidR="005D74BA" w:rsidRPr="005D74BA" w:rsidTr="005D74BA">
        <w:trPr>
          <w:gridAfter w:val="2"/>
          <w:wAfter w:w="1034" w:type="dxa"/>
          <w:trHeight w:val="315"/>
        </w:trPr>
        <w:tc>
          <w:tcPr>
            <w:tcW w:w="5529" w:type="dxa"/>
            <w:tcBorders>
              <w:top w:val="nil"/>
              <w:left w:val="nil"/>
              <w:bottom w:val="nil"/>
              <w:right w:val="nil"/>
            </w:tcBorders>
            <w:shd w:val="clear" w:color="auto" w:fill="auto"/>
            <w:noWrap/>
            <w:vAlign w:val="bottom"/>
            <w:hideMark/>
          </w:tcPr>
          <w:p w:rsidR="005D74BA" w:rsidRPr="005D74BA" w:rsidRDefault="005D74BA" w:rsidP="00FE16B2">
            <w:pPr>
              <w:rPr>
                <w:sz w:val="20"/>
                <w:szCs w:val="22"/>
                <w:lang w:eastAsia="en-GB"/>
              </w:rPr>
            </w:pPr>
          </w:p>
        </w:tc>
        <w:tc>
          <w:tcPr>
            <w:tcW w:w="1417" w:type="dxa"/>
            <w:gridSpan w:val="2"/>
            <w:tcBorders>
              <w:top w:val="nil"/>
              <w:left w:val="nil"/>
              <w:bottom w:val="nil"/>
              <w:right w:val="nil"/>
            </w:tcBorders>
            <w:shd w:val="clear" w:color="auto" w:fill="auto"/>
            <w:noWrap/>
            <w:vAlign w:val="bottom"/>
            <w:hideMark/>
          </w:tcPr>
          <w:p w:rsidR="005D74BA" w:rsidRPr="005D74BA" w:rsidRDefault="005D74BA" w:rsidP="00FE16B2">
            <w:pPr>
              <w:jc w:val="right"/>
              <w:rPr>
                <w:b/>
                <w:bCs/>
                <w:sz w:val="20"/>
                <w:szCs w:val="22"/>
                <w:lang w:eastAsia="en-GB"/>
              </w:rPr>
            </w:pPr>
            <w:r w:rsidRPr="005D74BA">
              <w:rPr>
                <w:b/>
                <w:bCs/>
                <w:sz w:val="20"/>
                <w:szCs w:val="22"/>
                <w:lang w:eastAsia="en-GB"/>
              </w:rPr>
              <w:t>30 June 2009</w:t>
            </w:r>
          </w:p>
        </w:tc>
        <w:tc>
          <w:tcPr>
            <w:tcW w:w="284" w:type="dxa"/>
            <w:tcBorders>
              <w:top w:val="nil"/>
              <w:left w:val="nil"/>
              <w:bottom w:val="nil"/>
              <w:right w:val="nil"/>
            </w:tcBorders>
            <w:shd w:val="clear" w:color="auto" w:fill="auto"/>
            <w:noWrap/>
            <w:vAlign w:val="bottom"/>
            <w:hideMark/>
          </w:tcPr>
          <w:p w:rsidR="005D74BA" w:rsidRPr="005D74BA" w:rsidRDefault="005D74BA" w:rsidP="00FE16B2">
            <w:pPr>
              <w:rPr>
                <w:sz w:val="20"/>
                <w:szCs w:val="22"/>
                <w:lang w:eastAsia="en-GB"/>
              </w:rPr>
            </w:pPr>
          </w:p>
        </w:tc>
        <w:tc>
          <w:tcPr>
            <w:tcW w:w="1984" w:type="dxa"/>
            <w:gridSpan w:val="4"/>
            <w:tcBorders>
              <w:top w:val="nil"/>
              <w:left w:val="nil"/>
              <w:bottom w:val="nil"/>
              <w:right w:val="nil"/>
            </w:tcBorders>
            <w:shd w:val="clear" w:color="auto" w:fill="auto"/>
            <w:noWrap/>
            <w:vAlign w:val="bottom"/>
            <w:hideMark/>
          </w:tcPr>
          <w:p w:rsidR="005D74BA" w:rsidRPr="005D74BA" w:rsidRDefault="005D74BA" w:rsidP="00FE16B2">
            <w:pPr>
              <w:jc w:val="right"/>
              <w:rPr>
                <w:sz w:val="20"/>
                <w:szCs w:val="22"/>
                <w:lang w:eastAsia="en-GB"/>
              </w:rPr>
            </w:pPr>
            <w:r w:rsidRPr="005D74BA">
              <w:rPr>
                <w:sz w:val="20"/>
                <w:szCs w:val="22"/>
                <w:lang w:eastAsia="en-GB"/>
              </w:rPr>
              <w:t>30 June 2008</w:t>
            </w:r>
          </w:p>
        </w:tc>
      </w:tr>
      <w:tr w:rsidR="005D74BA" w:rsidRPr="00FE16B2" w:rsidTr="005D74BA">
        <w:trPr>
          <w:gridAfter w:val="2"/>
          <w:wAfter w:w="1034" w:type="dxa"/>
          <w:trHeight w:val="315"/>
        </w:trPr>
        <w:tc>
          <w:tcPr>
            <w:tcW w:w="5529" w:type="dxa"/>
            <w:tcBorders>
              <w:top w:val="nil"/>
              <w:left w:val="nil"/>
              <w:bottom w:val="nil"/>
              <w:right w:val="nil"/>
            </w:tcBorders>
            <w:shd w:val="clear" w:color="auto" w:fill="auto"/>
            <w:noWrap/>
            <w:vAlign w:val="bottom"/>
            <w:hideMark/>
          </w:tcPr>
          <w:p w:rsidR="005D74BA" w:rsidRPr="00FE16B2" w:rsidRDefault="005D74BA" w:rsidP="00FE16B2">
            <w:pPr>
              <w:rPr>
                <w:sz w:val="22"/>
                <w:szCs w:val="22"/>
                <w:lang w:eastAsia="en-GB"/>
              </w:rPr>
            </w:pPr>
          </w:p>
        </w:tc>
        <w:tc>
          <w:tcPr>
            <w:tcW w:w="1417" w:type="dxa"/>
            <w:gridSpan w:val="2"/>
            <w:tcBorders>
              <w:top w:val="nil"/>
              <w:left w:val="nil"/>
              <w:bottom w:val="nil"/>
              <w:right w:val="nil"/>
            </w:tcBorders>
            <w:shd w:val="clear" w:color="auto" w:fill="auto"/>
            <w:noWrap/>
            <w:vAlign w:val="bottom"/>
            <w:hideMark/>
          </w:tcPr>
          <w:p w:rsidR="005D74BA" w:rsidRPr="00FE16B2" w:rsidRDefault="005D74BA" w:rsidP="00FE16B2">
            <w:pPr>
              <w:jc w:val="right"/>
              <w:rPr>
                <w:b/>
                <w:bCs/>
                <w:sz w:val="22"/>
                <w:szCs w:val="22"/>
                <w:lang w:eastAsia="en-GB"/>
              </w:rPr>
            </w:pPr>
            <w:r w:rsidRPr="00FE16B2">
              <w:rPr>
                <w:b/>
                <w:bCs/>
                <w:sz w:val="22"/>
                <w:szCs w:val="22"/>
                <w:lang w:eastAsia="en-GB"/>
              </w:rPr>
              <w:t xml:space="preserve">£    </w:t>
            </w:r>
          </w:p>
        </w:tc>
        <w:tc>
          <w:tcPr>
            <w:tcW w:w="284" w:type="dxa"/>
            <w:tcBorders>
              <w:top w:val="nil"/>
              <w:left w:val="nil"/>
              <w:bottom w:val="nil"/>
              <w:right w:val="nil"/>
            </w:tcBorders>
            <w:shd w:val="clear" w:color="auto" w:fill="auto"/>
            <w:noWrap/>
            <w:vAlign w:val="bottom"/>
            <w:hideMark/>
          </w:tcPr>
          <w:p w:rsidR="005D74BA" w:rsidRPr="00FE16B2" w:rsidRDefault="005D74BA" w:rsidP="00FE16B2">
            <w:pPr>
              <w:jc w:val="right"/>
              <w:rPr>
                <w:sz w:val="22"/>
                <w:szCs w:val="22"/>
                <w:lang w:eastAsia="en-GB"/>
              </w:rPr>
            </w:pPr>
          </w:p>
        </w:tc>
        <w:tc>
          <w:tcPr>
            <w:tcW w:w="1984" w:type="dxa"/>
            <w:gridSpan w:val="4"/>
            <w:tcBorders>
              <w:top w:val="nil"/>
              <w:left w:val="nil"/>
              <w:bottom w:val="nil"/>
              <w:right w:val="nil"/>
            </w:tcBorders>
            <w:shd w:val="clear" w:color="auto" w:fill="auto"/>
            <w:noWrap/>
            <w:vAlign w:val="bottom"/>
            <w:hideMark/>
          </w:tcPr>
          <w:p w:rsidR="005D74BA" w:rsidRPr="00FE16B2" w:rsidRDefault="005D74BA" w:rsidP="00FE16B2">
            <w:pPr>
              <w:jc w:val="right"/>
              <w:rPr>
                <w:sz w:val="22"/>
                <w:szCs w:val="22"/>
                <w:lang w:eastAsia="en-GB"/>
              </w:rPr>
            </w:pPr>
            <w:r w:rsidRPr="00FE16B2">
              <w:rPr>
                <w:sz w:val="22"/>
                <w:szCs w:val="22"/>
                <w:lang w:eastAsia="en-GB"/>
              </w:rPr>
              <w:t xml:space="preserve">£    </w:t>
            </w:r>
          </w:p>
        </w:tc>
      </w:tr>
      <w:tr w:rsidR="005D74BA" w:rsidRPr="00FE16B2" w:rsidTr="005D74BA">
        <w:trPr>
          <w:gridAfter w:val="2"/>
          <w:wAfter w:w="1034" w:type="dxa"/>
          <w:trHeight w:val="345"/>
        </w:trPr>
        <w:tc>
          <w:tcPr>
            <w:tcW w:w="5529" w:type="dxa"/>
            <w:tcBorders>
              <w:top w:val="nil"/>
              <w:left w:val="nil"/>
              <w:bottom w:val="nil"/>
              <w:right w:val="nil"/>
            </w:tcBorders>
            <w:shd w:val="clear" w:color="auto" w:fill="auto"/>
            <w:noWrap/>
            <w:vAlign w:val="center"/>
            <w:hideMark/>
          </w:tcPr>
          <w:p w:rsidR="005D74BA" w:rsidRPr="00FE16B2" w:rsidRDefault="005D74BA" w:rsidP="00FE16B2">
            <w:pPr>
              <w:rPr>
                <w:b/>
                <w:bCs/>
                <w:sz w:val="22"/>
                <w:szCs w:val="22"/>
                <w:lang w:eastAsia="en-GB"/>
              </w:rPr>
            </w:pPr>
            <w:r w:rsidRPr="00FE16B2">
              <w:rPr>
                <w:b/>
                <w:bCs/>
                <w:sz w:val="22"/>
                <w:szCs w:val="22"/>
                <w:lang w:eastAsia="en-GB"/>
              </w:rPr>
              <w:t>Revenue</w:t>
            </w:r>
          </w:p>
        </w:tc>
        <w:tc>
          <w:tcPr>
            <w:tcW w:w="1417" w:type="dxa"/>
            <w:gridSpan w:val="2"/>
            <w:tcBorders>
              <w:top w:val="nil"/>
              <w:left w:val="nil"/>
              <w:bottom w:val="nil"/>
              <w:right w:val="nil"/>
            </w:tcBorders>
            <w:shd w:val="clear" w:color="auto" w:fill="auto"/>
            <w:noWrap/>
            <w:vAlign w:val="center"/>
            <w:hideMark/>
          </w:tcPr>
          <w:p w:rsidR="005D74BA" w:rsidRPr="00FE16B2" w:rsidRDefault="005D74BA" w:rsidP="00FE16B2">
            <w:pPr>
              <w:jc w:val="right"/>
              <w:rPr>
                <w:b/>
                <w:bCs/>
                <w:sz w:val="22"/>
                <w:szCs w:val="22"/>
                <w:lang w:eastAsia="en-GB"/>
              </w:rPr>
            </w:pPr>
            <w:r w:rsidRPr="00FE16B2">
              <w:rPr>
                <w:b/>
                <w:bCs/>
                <w:sz w:val="22"/>
                <w:szCs w:val="22"/>
                <w:lang w:eastAsia="en-GB"/>
              </w:rPr>
              <w:t xml:space="preserve">1,834,605   </w:t>
            </w:r>
          </w:p>
        </w:tc>
        <w:tc>
          <w:tcPr>
            <w:tcW w:w="284"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p>
        </w:tc>
        <w:tc>
          <w:tcPr>
            <w:tcW w:w="1984" w:type="dxa"/>
            <w:gridSpan w:val="4"/>
            <w:tcBorders>
              <w:top w:val="nil"/>
              <w:left w:val="nil"/>
              <w:bottom w:val="nil"/>
              <w:right w:val="nil"/>
            </w:tcBorders>
            <w:shd w:val="clear" w:color="auto" w:fill="auto"/>
            <w:noWrap/>
            <w:vAlign w:val="center"/>
            <w:hideMark/>
          </w:tcPr>
          <w:p w:rsidR="005D74BA" w:rsidRPr="00FE16B2" w:rsidRDefault="005D74BA" w:rsidP="00FE16B2">
            <w:pPr>
              <w:jc w:val="right"/>
              <w:rPr>
                <w:sz w:val="22"/>
                <w:szCs w:val="22"/>
                <w:lang w:eastAsia="en-GB"/>
              </w:rPr>
            </w:pPr>
            <w:r w:rsidRPr="00FE16B2">
              <w:rPr>
                <w:sz w:val="22"/>
                <w:szCs w:val="22"/>
                <w:lang w:eastAsia="en-GB"/>
              </w:rPr>
              <w:t xml:space="preserve">2,345,644   </w:t>
            </w:r>
          </w:p>
        </w:tc>
      </w:tr>
      <w:tr w:rsidR="005D74BA" w:rsidRPr="00FE16B2" w:rsidTr="005D74BA">
        <w:trPr>
          <w:gridAfter w:val="2"/>
          <w:wAfter w:w="1034" w:type="dxa"/>
          <w:trHeight w:val="345"/>
        </w:trPr>
        <w:tc>
          <w:tcPr>
            <w:tcW w:w="5529" w:type="dxa"/>
            <w:tcBorders>
              <w:top w:val="nil"/>
              <w:left w:val="nil"/>
              <w:bottom w:val="nil"/>
              <w:right w:val="nil"/>
            </w:tcBorders>
            <w:shd w:val="clear" w:color="auto" w:fill="auto"/>
            <w:noWrap/>
            <w:vAlign w:val="center"/>
            <w:hideMark/>
          </w:tcPr>
          <w:p w:rsidR="005D74BA" w:rsidRPr="00FE16B2" w:rsidRDefault="005D74BA" w:rsidP="00FE16B2">
            <w:pPr>
              <w:rPr>
                <w:b/>
                <w:bCs/>
                <w:sz w:val="22"/>
                <w:szCs w:val="22"/>
                <w:lang w:eastAsia="en-GB"/>
              </w:rPr>
            </w:pPr>
            <w:r w:rsidRPr="00FE16B2">
              <w:rPr>
                <w:b/>
                <w:bCs/>
                <w:sz w:val="22"/>
                <w:szCs w:val="22"/>
                <w:lang w:eastAsia="en-GB"/>
              </w:rPr>
              <w:t>Net (losses) / gains on investments</w:t>
            </w:r>
          </w:p>
        </w:tc>
        <w:tc>
          <w:tcPr>
            <w:tcW w:w="1417" w:type="dxa"/>
            <w:gridSpan w:val="2"/>
            <w:tcBorders>
              <w:top w:val="nil"/>
              <w:left w:val="nil"/>
              <w:bottom w:val="nil"/>
              <w:right w:val="nil"/>
            </w:tcBorders>
            <w:shd w:val="clear" w:color="auto" w:fill="auto"/>
            <w:noWrap/>
            <w:vAlign w:val="center"/>
            <w:hideMark/>
          </w:tcPr>
          <w:p w:rsidR="005D74BA" w:rsidRPr="00FE16B2" w:rsidRDefault="005D74BA" w:rsidP="00FE16B2">
            <w:pPr>
              <w:jc w:val="right"/>
              <w:rPr>
                <w:b/>
                <w:bCs/>
                <w:sz w:val="22"/>
                <w:szCs w:val="22"/>
                <w:lang w:eastAsia="en-GB"/>
              </w:rPr>
            </w:pPr>
            <w:r w:rsidRPr="00FE16B2">
              <w:rPr>
                <w:b/>
                <w:bCs/>
                <w:sz w:val="22"/>
                <w:szCs w:val="22"/>
                <w:lang w:eastAsia="en-GB"/>
              </w:rPr>
              <w:t xml:space="preserve">(28,558,626)   </w:t>
            </w:r>
          </w:p>
        </w:tc>
        <w:tc>
          <w:tcPr>
            <w:tcW w:w="284"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p>
        </w:tc>
        <w:tc>
          <w:tcPr>
            <w:tcW w:w="1984" w:type="dxa"/>
            <w:gridSpan w:val="4"/>
            <w:tcBorders>
              <w:top w:val="nil"/>
              <w:left w:val="nil"/>
              <w:bottom w:val="nil"/>
              <w:right w:val="nil"/>
            </w:tcBorders>
            <w:shd w:val="clear" w:color="auto" w:fill="auto"/>
            <w:noWrap/>
            <w:vAlign w:val="center"/>
            <w:hideMark/>
          </w:tcPr>
          <w:p w:rsidR="005D74BA" w:rsidRPr="00FE16B2" w:rsidRDefault="005D74BA" w:rsidP="00FE16B2">
            <w:pPr>
              <w:jc w:val="right"/>
              <w:rPr>
                <w:sz w:val="22"/>
                <w:szCs w:val="22"/>
                <w:lang w:eastAsia="en-GB"/>
              </w:rPr>
            </w:pPr>
            <w:r w:rsidRPr="00FE16B2">
              <w:rPr>
                <w:sz w:val="22"/>
                <w:szCs w:val="22"/>
                <w:lang w:eastAsia="en-GB"/>
              </w:rPr>
              <w:t xml:space="preserve">947,441   </w:t>
            </w:r>
          </w:p>
        </w:tc>
      </w:tr>
      <w:tr w:rsidR="005D74BA" w:rsidRPr="00FE16B2" w:rsidTr="005D74BA">
        <w:trPr>
          <w:gridAfter w:val="2"/>
          <w:wAfter w:w="1034" w:type="dxa"/>
          <w:trHeight w:val="345"/>
        </w:trPr>
        <w:tc>
          <w:tcPr>
            <w:tcW w:w="5529" w:type="dxa"/>
            <w:tcBorders>
              <w:top w:val="nil"/>
              <w:left w:val="nil"/>
              <w:bottom w:val="nil"/>
              <w:right w:val="nil"/>
            </w:tcBorders>
            <w:shd w:val="clear" w:color="auto" w:fill="auto"/>
            <w:noWrap/>
            <w:vAlign w:val="center"/>
            <w:hideMark/>
          </w:tcPr>
          <w:p w:rsidR="005D74BA" w:rsidRPr="00FE16B2" w:rsidRDefault="005D74BA" w:rsidP="00FE16B2">
            <w:pPr>
              <w:rPr>
                <w:b/>
                <w:bCs/>
                <w:sz w:val="22"/>
                <w:szCs w:val="22"/>
                <w:lang w:eastAsia="en-GB"/>
              </w:rPr>
            </w:pPr>
            <w:r w:rsidRPr="00FE16B2">
              <w:rPr>
                <w:b/>
                <w:bCs/>
                <w:sz w:val="22"/>
                <w:szCs w:val="22"/>
                <w:lang w:eastAsia="en-GB"/>
              </w:rPr>
              <w:t>Expenses</w:t>
            </w:r>
          </w:p>
        </w:tc>
        <w:tc>
          <w:tcPr>
            <w:tcW w:w="1417" w:type="dxa"/>
            <w:gridSpan w:val="2"/>
            <w:tcBorders>
              <w:top w:val="nil"/>
              <w:left w:val="nil"/>
              <w:bottom w:val="single" w:sz="4" w:space="0" w:color="auto"/>
              <w:right w:val="nil"/>
            </w:tcBorders>
            <w:shd w:val="clear" w:color="auto" w:fill="auto"/>
            <w:noWrap/>
            <w:vAlign w:val="center"/>
            <w:hideMark/>
          </w:tcPr>
          <w:p w:rsidR="005D74BA" w:rsidRPr="00FE16B2" w:rsidRDefault="005D74BA" w:rsidP="00FE16B2">
            <w:pPr>
              <w:jc w:val="right"/>
              <w:rPr>
                <w:b/>
                <w:bCs/>
                <w:sz w:val="22"/>
                <w:szCs w:val="22"/>
                <w:lang w:eastAsia="en-GB"/>
              </w:rPr>
            </w:pPr>
            <w:r w:rsidRPr="00FE16B2">
              <w:rPr>
                <w:b/>
                <w:bCs/>
                <w:sz w:val="22"/>
                <w:szCs w:val="22"/>
                <w:lang w:eastAsia="en-GB"/>
              </w:rPr>
              <w:t xml:space="preserve">(2,681,073)  </w:t>
            </w:r>
          </w:p>
        </w:tc>
        <w:tc>
          <w:tcPr>
            <w:tcW w:w="284"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p>
        </w:tc>
        <w:tc>
          <w:tcPr>
            <w:tcW w:w="1984" w:type="dxa"/>
            <w:gridSpan w:val="4"/>
            <w:tcBorders>
              <w:top w:val="nil"/>
              <w:left w:val="nil"/>
              <w:bottom w:val="single" w:sz="4" w:space="0" w:color="auto"/>
              <w:right w:val="nil"/>
            </w:tcBorders>
            <w:shd w:val="clear" w:color="auto" w:fill="auto"/>
            <w:noWrap/>
            <w:vAlign w:val="center"/>
            <w:hideMark/>
          </w:tcPr>
          <w:p w:rsidR="005D74BA" w:rsidRPr="00FE16B2" w:rsidRDefault="005D74BA" w:rsidP="00FE16B2">
            <w:pPr>
              <w:jc w:val="right"/>
              <w:rPr>
                <w:sz w:val="22"/>
                <w:szCs w:val="22"/>
                <w:lang w:eastAsia="en-GB"/>
              </w:rPr>
            </w:pPr>
            <w:r w:rsidRPr="00FE16B2">
              <w:rPr>
                <w:sz w:val="22"/>
                <w:szCs w:val="22"/>
                <w:lang w:eastAsia="en-GB"/>
              </w:rPr>
              <w:t xml:space="preserve">(1,826,483)  </w:t>
            </w:r>
          </w:p>
        </w:tc>
      </w:tr>
      <w:tr w:rsidR="005D74BA" w:rsidRPr="00FE16B2" w:rsidTr="005D74BA">
        <w:trPr>
          <w:gridAfter w:val="2"/>
          <w:wAfter w:w="1034" w:type="dxa"/>
          <w:trHeight w:val="405"/>
        </w:trPr>
        <w:tc>
          <w:tcPr>
            <w:tcW w:w="5529" w:type="dxa"/>
            <w:tcBorders>
              <w:top w:val="nil"/>
              <w:left w:val="nil"/>
              <w:bottom w:val="nil"/>
              <w:right w:val="nil"/>
            </w:tcBorders>
            <w:shd w:val="clear" w:color="auto" w:fill="auto"/>
            <w:noWrap/>
            <w:vAlign w:val="center"/>
            <w:hideMark/>
          </w:tcPr>
          <w:p w:rsidR="005D74BA" w:rsidRPr="00FE16B2" w:rsidRDefault="005D74BA" w:rsidP="00FE16B2">
            <w:pPr>
              <w:rPr>
                <w:b/>
                <w:bCs/>
                <w:sz w:val="22"/>
                <w:szCs w:val="22"/>
                <w:lang w:eastAsia="en-GB"/>
              </w:rPr>
            </w:pPr>
            <w:r w:rsidRPr="00FE16B2">
              <w:rPr>
                <w:b/>
                <w:bCs/>
                <w:sz w:val="22"/>
                <w:szCs w:val="22"/>
                <w:lang w:eastAsia="en-GB"/>
              </w:rPr>
              <w:t>Profit before finance costs and taxation</w:t>
            </w:r>
          </w:p>
        </w:tc>
        <w:tc>
          <w:tcPr>
            <w:tcW w:w="1417" w:type="dxa"/>
            <w:gridSpan w:val="2"/>
            <w:tcBorders>
              <w:top w:val="nil"/>
              <w:left w:val="nil"/>
              <w:bottom w:val="nil"/>
              <w:right w:val="nil"/>
            </w:tcBorders>
            <w:shd w:val="clear" w:color="auto" w:fill="auto"/>
            <w:noWrap/>
            <w:vAlign w:val="center"/>
            <w:hideMark/>
          </w:tcPr>
          <w:p w:rsidR="005D74BA" w:rsidRPr="00FE16B2" w:rsidRDefault="005D74BA" w:rsidP="00FE16B2">
            <w:pPr>
              <w:jc w:val="right"/>
              <w:rPr>
                <w:b/>
                <w:bCs/>
                <w:sz w:val="22"/>
                <w:szCs w:val="22"/>
                <w:lang w:eastAsia="en-GB"/>
              </w:rPr>
            </w:pPr>
            <w:r w:rsidRPr="00FE16B2">
              <w:rPr>
                <w:b/>
                <w:bCs/>
                <w:sz w:val="22"/>
                <w:szCs w:val="22"/>
                <w:lang w:eastAsia="en-GB"/>
              </w:rPr>
              <w:t xml:space="preserve">(29,405,094)  </w:t>
            </w:r>
          </w:p>
        </w:tc>
        <w:tc>
          <w:tcPr>
            <w:tcW w:w="284" w:type="dxa"/>
            <w:tcBorders>
              <w:top w:val="nil"/>
              <w:left w:val="nil"/>
              <w:bottom w:val="nil"/>
              <w:right w:val="nil"/>
            </w:tcBorders>
            <w:shd w:val="clear" w:color="auto" w:fill="auto"/>
            <w:noWrap/>
            <w:vAlign w:val="center"/>
            <w:hideMark/>
          </w:tcPr>
          <w:p w:rsidR="005D74BA" w:rsidRPr="00FE16B2" w:rsidRDefault="005D74BA" w:rsidP="00FE16B2">
            <w:pPr>
              <w:rPr>
                <w:b/>
                <w:bCs/>
                <w:sz w:val="22"/>
                <w:szCs w:val="22"/>
                <w:lang w:eastAsia="en-GB"/>
              </w:rPr>
            </w:pPr>
          </w:p>
        </w:tc>
        <w:tc>
          <w:tcPr>
            <w:tcW w:w="1984" w:type="dxa"/>
            <w:gridSpan w:val="4"/>
            <w:tcBorders>
              <w:top w:val="nil"/>
              <w:left w:val="nil"/>
              <w:bottom w:val="nil"/>
              <w:right w:val="nil"/>
            </w:tcBorders>
            <w:shd w:val="clear" w:color="auto" w:fill="auto"/>
            <w:noWrap/>
            <w:vAlign w:val="center"/>
            <w:hideMark/>
          </w:tcPr>
          <w:p w:rsidR="005D74BA" w:rsidRPr="00FE16B2" w:rsidRDefault="005D74BA" w:rsidP="00FE16B2">
            <w:pPr>
              <w:jc w:val="right"/>
              <w:rPr>
                <w:sz w:val="22"/>
                <w:szCs w:val="22"/>
                <w:lang w:eastAsia="en-GB"/>
              </w:rPr>
            </w:pPr>
            <w:r w:rsidRPr="00FE16B2">
              <w:rPr>
                <w:sz w:val="22"/>
                <w:szCs w:val="22"/>
                <w:lang w:eastAsia="en-GB"/>
              </w:rPr>
              <w:t>1,466,602</w:t>
            </w:r>
          </w:p>
        </w:tc>
      </w:tr>
      <w:tr w:rsidR="005D74BA" w:rsidRPr="00FE16B2" w:rsidTr="005D74BA">
        <w:trPr>
          <w:gridAfter w:val="2"/>
          <w:wAfter w:w="1034" w:type="dxa"/>
          <w:trHeight w:val="540"/>
        </w:trPr>
        <w:tc>
          <w:tcPr>
            <w:tcW w:w="5529" w:type="dxa"/>
            <w:tcBorders>
              <w:top w:val="nil"/>
              <w:left w:val="nil"/>
              <w:bottom w:val="nil"/>
              <w:right w:val="nil"/>
            </w:tcBorders>
            <w:shd w:val="clear" w:color="auto" w:fill="auto"/>
            <w:noWrap/>
            <w:vAlign w:val="bottom"/>
            <w:hideMark/>
          </w:tcPr>
          <w:p w:rsidR="005D74BA" w:rsidRPr="00FE16B2" w:rsidRDefault="001D0B57" w:rsidP="00FE16B2">
            <w:pPr>
              <w:rPr>
                <w:b/>
                <w:bCs/>
                <w:sz w:val="22"/>
                <w:szCs w:val="22"/>
                <w:lang w:eastAsia="en-GB"/>
              </w:rPr>
            </w:pPr>
            <w:r>
              <w:rPr>
                <w:b/>
                <w:bCs/>
                <w:sz w:val="22"/>
                <w:szCs w:val="22"/>
                <w:lang w:eastAsia="en-GB"/>
              </w:rPr>
              <w:t>Finance costs</w:t>
            </w:r>
          </w:p>
        </w:tc>
        <w:tc>
          <w:tcPr>
            <w:tcW w:w="1417" w:type="dxa"/>
            <w:gridSpan w:val="2"/>
            <w:tcBorders>
              <w:top w:val="nil"/>
              <w:left w:val="nil"/>
              <w:right w:val="nil"/>
            </w:tcBorders>
            <w:shd w:val="clear" w:color="auto" w:fill="auto"/>
            <w:noWrap/>
            <w:vAlign w:val="center"/>
            <w:hideMark/>
          </w:tcPr>
          <w:p w:rsidR="005D74BA" w:rsidRPr="00FE16B2" w:rsidRDefault="005D74BA" w:rsidP="00FE16B2">
            <w:pPr>
              <w:rPr>
                <w:b/>
                <w:bCs/>
                <w:sz w:val="22"/>
                <w:szCs w:val="22"/>
                <w:lang w:eastAsia="en-GB"/>
              </w:rPr>
            </w:pPr>
          </w:p>
        </w:tc>
        <w:tc>
          <w:tcPr>
            <w:tcW w:w="284"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p>
        </w:tc>
        <w:tc>
          <w:tcPr>
            <w:tcW w:w="1984" w:type="dxa"/>
            <w:gridSpan w:val="4"/>
            <w:tcBorders>
              <w:top w:val="nil"/>
              <w:left w:val="nil"/>
              <w:right w:val="nil"/>
            </w:tcBorders>
            <w:shd w:val="clear" w:color="auto" w:fill="auto"/>
            <w:noWrap/>
            <w:vAlign w:val="center"/>
            <w:hideMark/>
          </w:tcPr>
          <w:p w:rsidR="005D74BA" w:rsidRPr="00FE16B2" w:rsidRDefault="005D74BA" w:rsidP="00FE16B2">
            <w:pPr>
              <w:rPr>
                <w:sz w:val="22"/>
                <w:szCs w:val="22"/>
                <w:lang w:eastAsia="en-GB"/>
              </w:rPr>
            </w:pPr>
          </w:p>
        </w:tc>
      </w:tr>
      <w:tr w:rsidR="005D74BA" w:rsidRPr="00FE16B2" w:rsidTr="005D74BA">
        <w:trPr>
          <w:gridAfter w:val="2"/>
          <w:wAfter w:w="1034" w:type="dxa"/>
          <w:trHeight w:val="345"/>
        </w:trPr>
        <w:tc>
          <w:tcPr>
            <w:tcW w:w="5529"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r w:rsidRPr="00FE16B2">
              <w:rPr>
                <w:sz w:val="22"/>
                <w:szCs w:val="22"/>
                <w:lang w:eastAsia="en-GB"/>
              </w:rPr>
              <w:t>Interest expense</w:t>
            </w:r>
          </w:p>
        </w:tc>
        <w:tc>
          <w:tcPr>
            <w:tcW w:w="1417" w:type="dxa"/>
            <w:gridSpan w:val="2"/>
            <w:tcBorders>
              <w:top w:val="nil"/>
              <w:left w:val="nil"/>
              <w:bottom w:val="single" w:sz="4" w:space="0" w:color="auto"/>
              <w:right w:val="nil"/>
            </w:tcBorders>
            <w:shd w:val="clear" w:color="auto" w:fill="auto"/>
            <w:noWrap/>
            <w:vAlign w:val="center"/>
            <w:hideMark/>
          </w:tcPr>
          <w:p w:rsidR="005D74BA" w:rsidRPr="00FE16B2" w:rsidRDefault="005D74BA" w:rsidP="00FE16B2">
            <w:pPr>
              <w:jc w:val="right"/>
              <w:rPr>
                <w:b/>
                <w:bCs/>
                <w:sz w:val="22"/>
                <w:szCs w:val="22"/>
                <w:lang w:eastAsia="en-GB"/>
              </w:rPr>
            </w:pPr>
            <w:r w:rsidRPr="00FE16B2">
              <w:rPr>
                <w:b/>
                <w:bCs/>
                <w:sz w:val="22"/>
                <w:szCs w:val="22"/>
                <w:lang w:eastAsia="en-GB"/>
              </w:rPr>
              <w:t xml:space="preserve">(976,080)   </w:t>
            </w:r>
          </w:p>
        </w:tc>
        <w:tc>
          <w:tcPr>
            <w:tcW w:w="284"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p>
        </w:tc>
        <w:tc>
          <w:tcPr>
            <w:tcW w:w="1984" w:type="dxa"/>
            <w:gridSpan w:val="4"/>
            <w:tcBorders>
              <w:top w:val="nil"/>
              <w:left w:val="nil"/>
              <w:bottom w:val="single" w:sz="4" w:space="0" w:color="auto"/>
              <w:right w:val="nil"/>
            </w:tcBorders>
            <w:shd w:val="clear" w:color="auto" w:fill="auto"/>
            <w:noWrap/>
            <w:vAlign w:val="center"/>
            <w:hideMark/>
          </w:tcPr>
          <w:p w:rsidR="005D74BA" w:rsidRPr="00FE16B2" w:rsidRDefault="005D74BA" w:rsidP="00FE16B2">
            <w:pPr>
              <w:jc w:val="right"/>
              <w:rPr>
                <w:sz w:val="22"/>
                <w:szCs w:val="22"/>
                <w:lang w:eastAsia="en-GB"/>
              </w:rPr>
            </w:pPr>
            <w:r w:rsidRPr="00FE16B2">
              <w:rPr>
                <w:sz w:val="22"/>
                <w:szCs w:val="22"/>
                <w:lang w:eastAsia="en-GB"/>
              </w:rPr>
              <w:t xml:space="preserve">(2,010,474)   </w:t>
            </w:r>
          </w:p>
        </w:tc>
      </w:tr>
      <w:tr w:rsidR="005D74BA" w:rsidRPr="00FE16B2" w:rsidTr="005D74BA">
        <w:trPr>
          <w:gridAfter w:val="2"/>
          <w:wAfter w:w="1034" w:type="dxa"/>
          <w:trHeight w:val="480"/>
        </w:trPr>
        <w:tc>
          <w:tcPr>
            <w:tcW w:w="5529" w:type="dxa"/>
            <w:tcBorders>
              <w:top w:val="nil"/>
              <w:left w:val="nil"/>
              <w:bottom w:val="nil"/>
              <w:right w:val="nil"/>
            </w:tcBorders>
            <w:shd w:val="clear" w:color="auto" w:fill="auto"/>
            <w:noWrap/>
            <w:vAlign w:val="center"/>
            <w:hideMark/>
          </w:tcPr>
          <w:p w:rsidR="005D74BA" w:rsidRPr="00FE16B2" w:rsidRDefault="005D74BA" w:rsidP="00FE16B2">
            <w:pPr>
              <w:rPr>
                <w:b/>
                <w:bCs/>
                <w:sz w:val="22"/>
                <w:szCs w:val="22"/>
                <w:lang w:eastAsia="en-GB"/>
              </w:rPr>
            </w:pPr>
            <w:r w:rsidRPr="00FE16B2">
              <w:rPr>
                <w:b/>
                <w:bCs/>
                <w:sz w:val="22"/>
                <w:szCs w:val="22"/>
                <w:lang w:eastAsia="en-GB"/>
              </w:rPr>
              <w:t>Profit before taxation</w:t>
            </w:r>
          </w:p>
        </w:tc>
        <w:tc>
          <w:tcPr>
            <w:tcW w:w="1417" w:type="dxa"/>
            <w:gridSpan w:val="2"/>
            <w:tcBorders>
              <w:top w:val="single" w:sz="4" w:space="0" w:color="auto"/>
              <w:left w:val="nil"/>
              <w:bottom w:val="nil"/>
              <w:right w:val="nil"/>
            </w:tcBorders>
            <w:shd w:val="clear" w:color="auto" w:fill="auto"/>
            <w:noWrap/>
            <w:vAlign w:val="center"/>
            <w:hideMark/>
          </w:tcPr>
          <w:p w:rsidR="005D74BA" w:rsidRPr="00FE16B2" w:rsidRDefault="005D74BA" w:rsidP="00FE16B2">
            <w:pPr>
              <w:jc w:val="right"/>
              <w:rPr>
                <w:b/>
                <w:bCs/>
                <w:sz w:val="22"/>
                <w:szCs w:val="22"/>
                <w:lang w:eastAsia="en-GB"/>
              </w:rPr>
            </w:pPr>
            <w:r w:rsidRPr="00FE16B2">
              <w:rPr>
                <w:b/>
                <w:bCs/>
                <w:sz w:val="22"/>
                <w:szCs w:val="22"/>
                <w:lang w:eastAsia="en-GB"/>
              </w:rPr>
              <w:t xml:space="preserve">(30,381,174)  </w:t>
            </w:r>
          </w:p>
        </w:tc>
        <w:tc>
          <w:tcPr>
            <w:tcW w:w="284"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p>
        </w:tc>
        <w:tc>
          <w:tcPr>
            <w:tcW w:w="1984" w:type="dxa"/>
            <w:gridSpan w:val="4"/>
            <w:tcBorders>
              <w:top w:val="single" w:sz="4" w:space="0" w:color="auto"/>
              <w:left w:val="nil"/>
              <w:bottom w:val="nil"/>
              <w:right w:val="nil"/>
            </w:tcBorders>
            <w:shd w:val="clear" w:color="auto" w:fill="auto"/>
            <w:noWrap/>
            <w:vAlign w:val="center"/>
            <w:hideMark/>
          </w:tcPr>
          <w:p w:rsidR="005D74BA" w:rsidRPr="00FE16B2" w:rsidRDefault="005D74BA" w:rsidP="00FE16B2">
            <w:pPr>
              <w:jc w:val="right"/>
              <w:rPr>
                <w:sz w:val="22"/>
                <w:szCs w:val="22"/>
                <w:lang w:eastAsia="en-GB"/>
              </w:rPr>
            </w:pPr>
            <w:r w:rsidRPr="00FE16B2">
              <w:rPr>
                <w:sz w:val="22"/>
                <w:szCs w:val="22"/>
                <w:lang w:eastAsia="en-GB"/>
              </w:rPr>
              <w:t>(543,872)</w:t>
            </w:r>
          </w:p>
        </w:tc>
      </w:tr>
      <w:tr w:rsidR="005D74BA" w:rsidRPr="00FE16B2" w:rsidTr="005D74BA">
        <w:trPr>
          <w:gridAfter w:val="2"/>
          <w:wAfter w:w="1034" w:type="dxa"/>
          <w:trHeight w:val="345"/>
        </w:trPr>
        <w:tc>
          <w:tcPr>
            <w:tcW w:w="5529" w:type="dxa"/>
            <w:tcBorders>
              <w:top w:val="nil"/>
              <w:left w:val="nil"/>
              <w:bottom w:val="nil"/>
              <w:right w:val="nil"/>
            </w:tcBorders>
            <w:shd w:val="clear" w:color="auto" w:fill="auto"/>
            <w:noWrap/>
            <w:vAlign w:val="center"/>
            <w:hideMark/>
          </w:tcPr>
          <w:p w:rsidR="005D74BA" w:rsidRPr="00FE16B2" w:rsidRDefault="005D74BA" w:rsidP="00FE16B2">
            <w:pPr>
              <w:rPr>
                <w:b/>
                <w:bCs/>
                <w:sz w:val="22"/>
                <w:szCs w:val="22"/>
                <w:lang w:eastAsia="en-GB"/>
              </w:rPr>
            </w:pPr>
            <w:r w:rsidRPr="00FE16B2">
              <w:rPr>
                <w:b/>
                <w:bCs/>
                <w:sz w:val="22"/>
                <w:szCs w:val="22"/>
                <w:lang w:eastAsia="en-GB"/>
              </w:rPr>
              <w:t>Taxation</w:t>
            </w:r>
          </w:p>
        </w:tc>
        <w:tc>
          <w:tcPr>
            <w:tcW w:w="1417" w:type="dxa"/>
            <w:gridSpan w:val="2"/>
            <w:tcBorders>
              <w:top w:val="nil"/>
              <w:left w:val="nil"/>
              <w:bottom w:val="nil"/>
              <w:right w:val="nil"/>
            </w:tcBorders>
            <w:shd w:val="clear" w:color="auto" w:fill="auto"/>
            <w:noWrap/>
            <w:vAlign w:val="center"/>
            <w:hideMark/>
          </w:tcPr>
          <w:p w:rsidR="005D74BA" w:rsidRPr="00FE16B2" w:rsidRDefault="001D0B57" w:rsidP="00FE16B2">
            <w:pPr>
              <w:jc w:val="right"/>
              <w:rPr>
                <w:b/>
                <w:bCs/>
                <w:sz w:val="22"/>
                <w:szCs w:val="22"/>
                <w:lang w:eastAsia="en-GB"/>
              </w:rPr>
            </w:pPr>
            <w:r>
              <w:rPr>
                <w:b/>
                <w:bCs/>
                <w:sz w:val="22"/>
                <w:szCs w:val="22"/>
                <w:lang w:eastAsia="en-GB"/>
              </w:rPr>
              <w:t>(</w:t>
            </w:r>
            <w:r w:rsidR="005D74BA" w:rsidRPr="00FE16B2">
              <w:rPr>
                <w:b/>
                <w:bCs/>
                <w:sz w:val="22"/>
                <w:szCs w:val="22"/>
                <w:lang w:eastAsia="en-GB"/>
              </w:rPr>
              <w:t>9,061,474</w:t>
            </w:r>
            <w:r>
              <w:rPr>
                <w:b/>
                <w:bCs/>
                <w:sz w:val="22"/>
                <w:szCs w:val="22"/>
                <w:lang w:eastAsia="en-GB"/>
              </w:rPr>
              <w:t>)</w:t>
            </w:r>
            <w:r w:rsidR="005D74BA" w:rsidRPr="00FE16B2">
              <w:rPr>
                <w:b/>
                <w:bCs/>
                <w:sz w:val="22"/>
                <w:szCs w:val="22"/>
                <w:lang w:eastAsia="en-GB"/>
              </w:rPr>
              <w:t xml:space="preserve">  </w:t>
            </w:r>
          </w:p>
        </w:tc>
        <w:tc>
          <w:tcPr>
            <w:tcW w:w="284"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p>
        </w:tc>
        <w:tc>
          <w:tcPr>
            <w:tcW w:w="1984" w:type="dxa"/>
            <w:gridSpan w:val="4"/>
            <w:tcBorders>
              <w:top w:val="nil"/>
              <w:left w:val="nil"/>
              <w:bottom w:val="nil"/>
              <w:right w:val="nil"/>
            </w:tcBorders>
            <w:shd w:val="clear" w:color="auto" w:fill="auto"/>
            <w:noWrap/>
            <w:vAlign w:val="center"/>
            <w:hideMark/>
          </w:tcPr>
          <w:p w:rsidR="005D74BA" w:rsidRPr="00FE16B2" w:rsidRDefault="001D0B57" w:rsidP="00FE16B2">
            <w:pPr>
              <w:jc w:val="right"/>
              <w:rPr>
                <w:sz w:val="22"/>
                <w:szCs w:val="22"/>
                <w:lang w:eastAsia="en-GB"/>
              </w:rPr>
            </w:pPr>
            <w:r>
              <w:rPr>
                <w:sz w:val="22"/>
                <w:szCs w:val="22"/>
                <w:lang w:eastAsia="en-GB"/>
              </w:rPr>
              <w:t>(</w:t>
            </w:r>
            <w:r w:rsidR="005D74BA" w:rsidRPr="00FE16B2">
              <w:rPr>
                <w:sz w:val="22"/>
                <w:szCs w:val="22"/>
                <w:lang w:eastAsia="en-GB"/>
              </w:rPr>
              <w:t>79,431</w:t>
            </w:r>
            <w:r>
              <w:rPr>
                <w:sz w:val="22"/>
                <w:szCs w:val="22"/>
                <w:lang w:eastAsia="en-GB"/>
              </w:rPr>
              <w:t>)</w:t>
            </w:r>
          </w:p>
        </w:tc>
      </w:tr>
      <w:tr w:rsidR="005D74BA" w:rsidRPr="00FE16B2" w:rsidTr="005D74BA">
        <w:trPr>
          <w:gridAfter w:val="2"/>
          <w:wAfter w:w="1034" w:type="dxa"/>
          <w:trHeight w:val="405"/>
        </w:trPr>
        <w:tc>
          <w:tcPr>
            <w:tcW w:w="5529" w:type="dxa"/>
            <w:tcBorders>
              <w:top w:val="nil"/>
              <w:left w:val="nil"/>
              <w:bottom w:val="nil"/>
              <w:right w:val="nil"/>
            </w:tcBorders>
            <w:shd w:val="clear" w:color="auto" w:fill="auto"/>
            <w:noWrap/>
            <w:vAlign w:val="center"/>
            <w:hideMark/>
          </w:tcPr>
          <w:p w:rsidR="005D74BA" w:rsidRPr="00FE16B2" w:rsidRDefault="005D74BA" w:rsidP="00FE16B2">
            <w:pPr>
              <w:rPr>
                <w:b/>
                <w:bCs/>
                <w:sz w:val="22"/>
                <w:szCs w:val="22"/>
                <w:lang w:eastAsia="en-GB"/>
              </w:rPr>
            </w:pPr>
            <w:r w:rsidRPr="00FE16B2">
              <w:rPr>
                <w:b/>
                <w:bCs/>
                <w:sz w:val="22"/>
                <w:szCs w:val="22"/>
                <w:lang w:eastAsia="en-GB"/>
              </w:rPr>
              <w:t>Loss for the period</w:t>
            </w:r>
          </w:p>
        </w:tc>
        <w:tc>
          <w:tcPr>
            <w:tcW w:w="1417" w:type="dxa"/>
            <w:gridSpan w:val="2"/>
            <w:tcBorders>
              <w:top w:val="single" w:sz="4" w:space="0" w:color="auto"/>
              <w:left w:val="nil"/>
              <w:bottom w:val="single" w:sz="8" w:space="0" w:color="auto"/>
              <w:right w:val="nil"/>
            </w:tcBorders>
            <w:shd w:val="clear" w:color="auto" w:fill="auto"/>
            <w:noWrap/>
            <w:vAlign w:val="center"/>
            <w:hideMark/>
          </w:tcPr>
          <w:p w:rsidR="005D74BA" w:rsidRPr="00FE16B2" w:rsidRDefault="005D74BA" w:rsidP="00FE16B2">
            <w:pPr>
              <w:jc w:val="right"/>
              <w:rPr>
                <w:b/>
                <w:bCs/>
                <w:sz w:val="22"/>
                <w:szCs w:val="22"/>
                <w:lang w:eastAsia="en-GB"/>
              </w:rPr>
            </w:pPr>
            <w:r w:rsidRPr="00FE16B2">
              <w:rPr>
                <w:b/>
                <w:bCs/>
                <w:sz w:val="22"/>
                <w:szCs w:val="22"/>
                <w:lang w:eastAsia="en-GB"/>
              </w:rPr>
              <w:t xml:space="preserve">(21,319,700)  </w:t>
            </w:r>
          </w:p>
        </w:tc>
        <w:tc>
          <w:tcPr>
            <w:tcW w:w="284" w:type="dxa"/>
            <w:tcBorders>
              <w:top w:val="nil"/>
              <w:left w:val="nil"/>
              <w:bottom w:val="nil"/>
              <w:right w:val="nil"/>
            </w:tcBorders>
            <w:shd w:val="clear" w:color="auto" w:fill="auto"/>
            <w:noWrap/>
            <w:vAlign w:val="center"/>
            <w:hideMark/>
          </w:tcPr>
          <w:p w:rsidR="005D74BA" w:rsidRPr="00FE16B2" w:rsidRDefault="005D74BA" w:rsidP="00FE16B2">
            <w:pPr>
              <w:rPr>
                <w:b/>
                <w:bCs/>
                <w:sz w:val="22"/>
                <w:szCs w:val="22"/>
                <w:lang w:eastAsia="en-GB"/>
              </w:rPr>
            </w:pPr>
          </w:p>
        </w:tc>
        <w:tc>
          <w:tcPr>
            <w:tcW w:w="1984" w:type="dxa"/>
            <w:gridSpan w:val="4"/>
            <w:tcBorders>
              <w:top w:val="single" w:sz="4" w:space="0" w:color="auto"/>
              <w:left w:val="nil"/>
              <w:bottom w:val="single" w:sz="8" w:space="0" w:color="auto"/>
              <w:right w:val="nil"/>
            </w:tcBorders>
            <w:shd w:val="clear" w:color="auto" w:fill="auto"/>
            <w:noWrap/>
            <w:vAlign w:val="center"/>
            <w:hideMark/>
          </w:tcPr>
          <w:p w:rsidR="005D74BA" w:rsidRPr="00FE16B2" w:rsidRDefault="005D74BA" w:rsidP="00FE16B2">
            <w:pPr>
              <w:jc w:val="right"/>
              <w:rPr>
                <w:sz w:val="22"/>
                <w:szCs w:val="22"/>
                <w:lang w:eastAsia="en-GB"/>
              </w:rPr>
            </w:pPr>
            <w:r w:rsidRPr="00FE16B2">
              <w:rPr>
                <w:sz w:val="22"/>
                <w:szCs w:val="22"/>
                <w:lang w:eastAsia="en-GB"/>
              </w:rPr>
              <w:t>(464,441)</w:t>
            </w:r>
          </w:p>
        </w:tc>
      </w:tr>
      <w:tr w:rsidR="005D74BA" w:rsidRPr="00FE16B2" w:rsidTr="005D74BA">
        <w:trPr>
          <w:gridAfter w:val="2"/>
          <w:wAfter w:w="1034" w:type="dxa"/>
          <w:trHeight w:val="540"/>
        </w:trPr>
        <w:tc>
          <w:tcPr>
            <w:tcW w:w="5529" w:type="dxa"/>
            <w:tcBorders>
              <w:top w:val="nil"/>
              <w:left w:val="nil"/>
              <w:bottom w:val="nil"/>
              <w:right w:val="nil"/>
            </w:tcBorders>
            <w:shd w:val="clear" w:color="auto" w:fill="auto"/>
            <w:noWrap/>
            <w:vAlign w:val="bottom"/>
            <w:hideMark/>
          </w:tcPr>
          <w:p w:rsidR="005D74BA" w:rsidRPr="00FE16B2" w:rsidRDefault="005D74BA" w:rsidP="00FE16B2">
            <w:pPr>
              <w:rPr>
                <w:b/>
                <w:bCs/>
                <w:sz w:val="22"/>
                <w:szCs w:val="22"/>
                <w:lang w:eastAsia="en-GB"/>
              </w:rPr>
            </w:pPr>
            <w:r w:rsidRPr="00FE16B2">
              <w:rPr>
                <w:b/>
                <w:bCs/>
                <w:sz w:val="22"/>
                <w:szCs w:val="22"/>
                <w:lang w:eastAsia="en-GB"/>
              </w:rPr>
              <w:t xml:space="preserve">Earnings per stock unit </w:t>
            </w:r>
            <w:r w:rsidRPr="00FE16B2">
              <w:rPr>
                <w:sz w:val="22"/>
                <w:szCs w:val="22"/>
                <w:lang w:eastAsia="en-GB"/>
              </w:rPr>
              <w:t>(basic and diluted)</w:t>
            </w:r>
            <w:r w:rsidRPr="00FE16B2">
              <w:rPr>
                <w:b/>
                <w:bCs/>
                <w:sz w:val="22"/>
                <w:szCs w:val="22"/>
                <w:lang w:eastAsia="en-GB"/>
              </w:rPr>
              <w:t xml:space="preserve"> </w:t>
            </w:r>
          </w:p>
        </w:tc>
        <w:tc>
          <w:tcPr>
            <w:tcW w:w="1417" w:type="dxa"/>
            <w:gridSpan w:val="2"/>
            <w:tcBorders>
              <w:top w:val="nil"/>
              <w:left w:val="nil"/>
              <w:bottom w:val="single" w:sz="8" w:space="0" w:color="auto"/>
              <w:right w:val="nil"/>
            </w:tcBorders>
            <w:shd w:val="clear" w:color="auto" w:fill="auto"/>
            <w:noWrap/>
            <w:vAlign w:val="bottom"/>
            <w:hideMark/>
          </w:tcPr>
          <w:p w:rsidR="005D74BA" w:rsidRPr="00FE16B2" w:rsidRDefault="005D74BA" w:rsidP="00FE16B2">
            <w:pPr>
              <w:jc w:val="right"/>
              <w:rPr>
                <w:b/>
                <w:bCs/>
                <w:sz w:val="22"/>
                <w:szCs w:val="22"/>
                <w:lang w:eastAsia="en-GB"/>
              </w:rPr>
            </w:pPr>
            <w:r w:rsidRPr="00FE16B2">
              <w:rPr>
                <w:b/>
                <w:bCs/>
                <w:sz w:val="22"/>
                <w:szCs w:val="22"/>
                <w:lang w:eastAsia="en-GB"/>
              </w:rPr>
              <w:t>(197.84p)</w:t>
            </w:r>
          </w:p>
        </w:tc>
        <w:tc>
          <w:tcPr>
            <w:tcW w:w="284" w:type="dxa"/>
            <w:tcBorders>
              <w:top w:val="nil"/>
              <w:left w:val="nil"/>
              <w:bottom w:val="nil"/>
              <w:right w:val="nil"/>
            </w:tcBorders>
            <w:shd w:val="clear" w:color="auto" w:fill="auto"/>
            <w:noWrap/>
            <w:vAlign w:val="bottom"/>
            <w:hideMark/>
          </w:tcPr>
          <w:p w:rsidR="005D74BA" w:rsidRPr="00FE16B2" w:rsidRDefault="005D74BA" w:rsidP="00FE16B2">
            <w:pPr>
              <w:rPr>
                <w:sz w:val="22"/>
                <w:szCs w:val="22"/>
                <w:lang w:eastAsia="en-GB"/>
              </w:rPr>
            </w:pPr>
          </w:p>
        </w:tc>
        <w:tc>
          <w:tcPr>
            <w:tcW w:w="1984" w:type="dxa"/>
            <w:gridSpan w:val="4"/>
            <w:tcBorders>
              <w:top w:val="nil"/>
              <w:left w:val="nil"/>
              <w:bottom w:val="single" w:sz="8" w:space="0" w:color="auto"/>
              <w:right w:val="nil"/>
            </w:tcBorders>
            <w:shd w:val="clear" w:color="auto" w:fill="auto"/>
            <w:noWrap/>
            <w:vAlign w:val="bottom"/>
            <w:hideMark/>
          </w:tcPr>
          <w:p w:rsidR="005D74BA" w:rsidRPr="00FE16B2" w:rsidRDefault="005D74BA" w:rsidP="00FE16B2">
            <w:pPr>
              <w:jc w:val="right"/>
              <w:rPr>
                <w:sz w:val="22"/>
                <w:szCs w:val="22"/>
                <w:lang w:eastAsia="en-GB"/>
              </w:rPr>
            </w:pPr>
            <w:r w:rsidRPr="00FE16B2">
              <w:rPr>
                <w:sz w:val="22"/>
                <w:szCs w:val="22"/>
                <w:lang w:eastAsia="en-GB"/>
              </w:rPr>
              <w:t xml:space="preserve">(4.31p) </w:t>
            </w:r>
          </w:p>
        </w:tc>
      </w:tr>
      <w:tr w:rsidR="00FE16B2" w:rsidRPr="00FE16B2" w:rsidTr="005D74BA">
        <w:trPr>
          <w:trHeight w:val="420"/>
        </w:trPr>
        <w:tc>
          <w:tcPr>
            <w:tcW w:w="5889" w:type="dxa"/>
            <w:gridSpan w:val="2"/>
            <w:tcBorders>
              <w:top w:val="nil"/>
              <w:left w:val="nil"/>
              <w:bottom w:val="nil"/>
              <w:right w:val="nil"/>
            </w:tcBorders>
            <w:shd w:val="clear" w:color="auto" w:fill="auto"/>
            <w:noWrap/>
            <w:vAlign w:val="bottom"/>
            <w:hideMark/>
          </w:tcPr>
          <w:p w:rsidR="00FE16B2" w:rsidRPr="00FE16B2" w:rsidRDefault="00FE16B2" w:rsidP="00FE16B2">
            <w:pPr>
              <w:rPr>
                <w:bCs/>
                <w:sz w:val="22"/>
                <w:szCs w:val="22"/>
              </w:rPr>
            </w:pPr>
          </w:p>
        </w:tc>
        <w:tc>
          <w:tcPr>
            <w:tcW w:w="1517" w:type="dxa"/>
            <w:gridSpan w:val="3"/>
            <w:tcBorders>
              <w:top w:val="single" w:sz="8" w:space="0" w:color="auto"/>
              <w:left w:val="nil"/>
              <w:bottom w:val="nil"/>
              <w:right w:val="nil"/>
            </w:tcBorders>
            <w:shd w:val="clear" w:color="auto" w:fill="auto"/>
            <w:noWrap/>
            <w:vAlign w:val="bottom"/>
            <w:hideMark/>
          </w:tcPr>
          <w:p w:rsidR="00FE16B2" w:rsidRPr="00FE16B2" w:rsidRDefault="00FE16B2" w:rsidP="00FE16B2">
            <w:pPr>
              <w:jc w:val="right"/>
              <w:rPr>
                <w:bCs/>
                <w:sz w:val="22"/>
                <w:szCs w:val="22"/>
              </w:rPr>
            </w:pPr>
          </w:p>
        </w:tc>
        <w:tc>
          <w:tcPr>
            <w:tcW w:w="247" w:type="dxa"/>
            <w:tcBorders>
              <w:top w:val="nil"/>
              <w:left w:val="nil"/>
              <w:bottom w:val="nil"/>
              <w:right w:val="nil"/>
            </w:tcBorders>
            <w:shd w:val="clear" w:color="auto" w:fill="auto"/>
            <w:noWrap/>
            <w:vAlign w:val="bottom"/>
            <w:hideMark/>
          </w:tcPr>
          <w:p w:rsidR="00FE16B2" w:rsidRPr="00FE16B2" w:rsidRDefault="00FE16B2" w:rsidP="00FE16B2">
            <w:pPr>
              <w:rPr>
                <w:bCs/>
                <w:sz w:val="22"/>
                <w:szCs w:val="22"/>
              </w:rPr>
            </w:pPr>
          </w:p>
        </w:tc>
        <w:tc>
          <w:tcPr>
            <w:tcW w:w="1451" w:type="dxa"/>
            <w:tcBorders>
              <w:top w:val="nil"/>
              <w:left w:val="nil"/>
              <w:bottom w:val="nil"/>
              <w:right w:val="nil"/>
            </w:tcBorders>
            <w:shd w:val="clear" w:color="auto" w:fill="auto"/>
            <w:noWrap/>
            <w:vAlign w:val="bottom"/>
            <w:hideMark/>
          </w:tcPr>
          <w:p w:rsidR="00FE16B2" w:rsidRPr="00FE16B2" w:rsidRDefault="00FE16B2" w:rsidP="00FE16B2">
            <w:pPr>
              <w:rPr>
                <w:bCs/>
                <w:sz w:val="22"/>
                <w:szCs w:val="22"/>
              </w:rPr>
            </w:pPr>
          </w:p>
        </w:tc>
        <w:tc>
          <w:tcPr>
            <w:tcW w:w="282" w:type="dxa"/>
            <w:gridSpan w:val="2"/>
            <w:tcBorders>
              <w:top w:val="nil"/>
              <w:left w:val="nil"/>
              <w:bottom w:val="nil"/>
              <w:right w:val="nil"/>
            </w:tcBorders>
            <w:shd w:val="clear" w:color="auto" w:fill="auto"/>
            <w:noWrap/>
            <w:vAlign w:val="bottom"/>
            <w:hideMark/>
          </w:tcPr>
          <w:p w:rsidR="00FE16B2" w:rsidRPr="00FE16B2" w:rsidRDefault="00FE16B2" w:rsidP="00FE16B2">
            <w:pPr>
              <w:rPr>
                <w:bCs/>
                <w:sz w:val="22"/>
                <w:szCs w:val="22"/>
              </w:rPr>
            </w:pPr>
          </w:p>
        </w:tc>
        <w:tc>
          <w:tcPr>
            <w:tcW w:w="862" w:type="dxa"/>
            <w:tcBorders>
              <w:top w:val="nil"/>
              <w:left w:val="nil"/>
              <w:bottom w:val="nil"/>
              <w:right w:val="nil"/>
            </w:tcBorders>
            <w:shd w:val="clear" w:color="auto" w:fill="auto"/>
            <w:noWrap/>
            <w:vAlign w:val="bottom"/>
            <w:hideMark/>
          </w:tcPr>
          <w:p w:rsidR="00FE16B2" w:rsidRPr="00FE16B2" w:rsidRDefault="00FE16B2" w:rsidP="00FE16B2">
            <w:pPr>
              <w:rPr>
                <w:bCs/>
                <w:sz w:val="22"/>
                <w:szCs w:val="22"/>
              </w:rPr>
            </w:pPr>
          </w:p>
        </w:tc>
      </w:tr>
    </w:tbl>
    <w:p w:rsidR="00FE16B2" w:rsidRPr="00FE16B2" w:rsidRDefault="00FE16B2" w:rsidP="00FE16B2">
      <w:pPr>
        <w:rPr>
          <w:b/>
          <w:bCs/>
          <w:sz w:val="22"/>
          <w:szCs w:val="22"/>
        </w:rPr>
      </w:pPr>
      <w:r>
        <w:rPr>
          <w:b/>
          <w:bCs/>
          <w:sz w:val="22"/>
          <w:szCs w:val="22"/>
        </w:rPr>
        <w:t>CONSOLIDATED STATEMENT OF CHANGES IN EQUITY</w:t>
      </w:r>
    </w:p>
    <w:p w:rsidR="00FE16B2" w:rsidRPr="00FE16B2" w:rsidRDefault="00FE16B2" w:rsidP="00FE16B2">
      <w:pPr>
        <w:spacing w:line="312" w:lineRule="auto"/>
        <w:rPr>
          <w:spacing w:val="2"/>
          <w:sz w:val="18"/>
          <w:szCs w:val="18"/>
        </w:rPr>
      </w:pPr>
      <w:proofErr w:type="gramStart"/>
      <w:r w:rsidRPr="00FE16B2">
        <w:rPr>
          <w:spacing w:val="2"/>
          <w:sz w:val="18"/>
          <w:szCs w:val="18"/>
        </w:rPr>
        <w:t>for</w:t>
      </w:r>
      <w:proofErr w:type="gramEnd"/>
      <w:r w:rsidRPr="00FE16B2">
        <w:rPr>
          <w:spacing w:val="2"/>
          <w:sz w:val="18"/>
          <w:szCs w:val="18"/>
        </w:rPr>
        <w:t xml:space="preserve"> the year ended 30 June 2009</w:t>
      </w:r>
    </w:p>
    <w:tbl>
      <w:tblPr>
        <w:tblW w:w="9230" w:type="dxa"/>
        <w:tblInd w:w="108" w:type="dxa"/>
        <w:tblLook w:val="04A0"/>
      </w:tblPr>
      <w:tblGrid>
        <w:gridCol w:w="5446"/>
        <w:gridCol w:w="1500"/>
        <w:gridCol w:w="283"/>
        <w:gridCol w:w="2001"/>
      </w:tblGrid>
      <w:tr w:rsidR="005D74BA" w:rsidRPr="005D74BA" w:rsidTr="005D74BA">
        <w:trPr>
          <w:trHeight w:val="300"/>
        </w:trPr>
        <w:tc>
          <w:tcPr>
            <w:tcW w:w="5446" w:type="dxa"/>
            <w:tcBorders>
              <w:top w:val="nil"/>
              <w:left w:val="nil"/>
              <w:bottom w:val="nil"/>
              <w:right w:val="nil"/>
            </w:tcBorders>
            <w:shd w:val="clear" w:color="auto" w:fill="auto"/>
            <w:noWrap/>
            <w:vAlign w:val="bottom"/>
            <w:hideMark/>
          </w:tcPr>
          <w:p w:rsidR="005D74BA" w:rsidRPr="005D74BA" w:rsidRDefault="005D74BA" w:rsidP="00FE16B2">
            <w:pPr>
              <w:rPr>
                <w:sz w:val="20"/>
                <w:szCs w:val="22"/>
                <w:lang w:eastAsia="en-GB"/>
              </w:rPr>
            </w:pPr>
          </w:p>
        </w:tc>
        <w:tc>
          <w:tcPr>
            <w:tcW w:w="1500" w:type="dxa"/>
            <w:tcBorders>
              <w:top w:val="nil"/>
              <w:left w:val="nil"/>
              <w:bottom w:val="nil"/>
              <w:right w:val="nil"/>
            </w:tcBorders>
            <w:shd w:val="clear" w:color="auto" w:fill="auto"/>
            <w:noWrap/>
            <w:vAlign w:val="bottom"/>
            <w:hideMark/>
          </w:tcPr>
          <w:p w:rsidR="005D74BA" w:rsidRPr="005D74BA" w:rsidRDefault="005D74BA" w:rsidP="00FE16B2">
            <w:pPr>
              <w:jc w:val="right"/>
              <w:rPr>
                <w:b/>
                <w:bCs/>
                <w:sz w:val="20"/>
                <w:szCs w:val="22"/>
                <w:lang w:eastAsia="en-GB"/>
              </w:rPr>
            </w:pPr>
            <w:r w:rsidRPr="005D74BA">
              <w:rPr>
                <w:b/>
                <w:bCs/>
                <w:sz w:val="20"/>
                <w:szCs w:val="22"/>
                <w:lang w:eastAsia="en-GB"/>
              </w:rPr>
              <w:t>30 June 2009</w:t>
            </w:r>
          </w:p>
        </w:tc>
        <w:tc>
          <w:tcPr>
            <w:tcW w:w="283" w:type="dxa"/>
            <w:tcBorders>
              <w:top w:val="nil"/>
              <w:left w:val="nil"/>
              <w:bottom w:val="nil"/>
              <w:right w:val="nil"/>
            </w:tcBorders>
            <w:shd w:val="clear" w:color="auto" w:fill="auto"/>
            <w:noWrap/>
            <w:vAlign w:val="bottom"/>
            <w:hideMark/>
          </w:tcPr>
          <w:p w:rsidR="005D74BA" w:rsidRPr="005D74BA" w:rsidRDefault="005D74BA" w:rsidP="00FE16B2">
            <w:pPr>
              <w:jc w:val="right"/>
              <w:rPr>
                <w:sz w:val="20"/>
                <w:szCs w:val="22"/>
                <w:lang w:eastAsia="en-GB"/>
              </w:rPr>
            </w:pPr>
          </w:p>
        </w:tc>
        <w:tc>
          <w:tcPr>
            <w:tcW w:w="2001" w:type="dxa"/>
            <w:tcBorders>
              <w:top w:val="nil"/>
              <w:left w:val="nil"/>
              <w:bottom w:val="nil"/>
              <w:right w:val="nil"/>
            </w:tcBorders>
            <w:shd w:val="clear" w:color="auto" w:fill="auto"/>
            <w:noWrap/>
            <w:vAlign w:val="bottom"/>
            <w:hideMark/>
          </w:tcPr>
          <w:p w:rsidR="005D74BA" w:rsidRPr="005D74BA" w:rsidRDefault="005D74BA" w:rsidP="00FE16B2">
            <w:pPr>
              <w:jc w:val="right"/>
              <w:rPr>
                <w:b/>
                <w:sz w:val="20"/>
                <w:szCs w:val="22"/>
                <w:lang w:eastAsia="en-GB"/>
              </w:rPr>
            </w:pPr>
            <w:r w:rsidRPr="005D74BA">
              <w:rPr>
                <w:bCs/>
                <w:sz w:val="20"/>
                <w:szCs w:val="22"/>
                <w:vertAlign w:val="superscript"/>
              </w:rPr>
              <w:t xml:space="preserve">* </w:t>
            </w:r>
            <w:r w:rsidRPr="005D74BA">
              <w:rPr>
                <w:b/>
                <w:sz w:val="18"/>
                <w:szCs w:val="22"/>
                <w:lang w:eastAsia="en-GB"/>
              </w:rPr>
              <w:t>Restated</w:t>
            </w:r>
          </w:p>
          <w:p w:rsidR="005D74BA" w:rsidRPr="005D74BA" w:rsidRDefault="005D74BA" w:rsidP="00FE16B2">
            <w:pPr>
              <w:jc w:val="right"/>
              <w:rPr>
                <w:sz w:val="20"/>
                <w:szCs w:val="22"/>
                <w:lang w:eastAsia="en-GB"/>
              </w:rPr>
            </w:pPr>
            <w:r w:rsidRPr="005D74BA">
              <w:rPr>
                <w:sz w:val="20"/>
                <w:szCs w:val="22"/>
                <w:lang w:eastAsia="en-GB"/>
              </w:rPr>
              <w:t>30 June 2008</w:t>
            </w:r>
          </w:p>
        </w:tc>
      </w:tr>
      <w:tr w:rsidR="005D74BA" w:rsidRPr="00FE16B2" w:rsidTr="005D74BA">
        <w:trPr>
          <w:trHeight w:val="300"/>
        </w:trPr>
        <w:tc>
          <w:tcPr>
            <w:tcW w:w="5446" w:type="dxa"/>
            <w:tcBorders>
              <w:top w:val="nil"/>
              <w:left w:val="nil"/>
              <w:bottom w:val="nil"/>
              <w:right w:val="nil"/>
            </w:tcBorders>
            <w:shd w:val="clear" w:color="auto" w:fill="auto"/>
            <w:noWrap/>
            <w:vAlign w:val="bottom"/>
            <w:hideMark/>
          </w:tcPr>
          <w:p w:rsidR="005D74BA" w:rsidRPr="00FE16B2" w:rsidRDefault="005D74BA" w:rsidP="00FE16B2">
            <w:pPr>
              <w:rPr>
                <w:sz w:val="22"/>
                <w:szCs w:val="22"/>
                <w:lang w:eastAsia="en-GB"/>
              </w:rPr>
            </w:pPr>
          </w:p>
        </w:tc>
        <w:tc>
          <w:tcPr>
            <w:tcW w:w="1500" w:type="dxa"/>
            <w:tcBorders>
              <w:top w:val="nil"/>
              <w:left w:val="nil"/>
              <w:bottom w:val="nil"/>
              <w:right w:val="nil"/>
            </w:tcBorders>
            <w:shd w:val="clear" w:color="auto" w:fill="auto"/>
            <w:noWrap/>
            <w:vAlign w:val="bottom"/>
            <w:hideMark/>
          </w:tcPr>
          <w:p w:rsidR="005D74BA" w:rsidRPr="00FE16B2" w:rsidRDefault="005D74BA" w:rsidP="00FE16B2">
            <w:pPr>
              <w:jc w:val="right"/>
              <w:rPr>
                <w:b/>
                <w:bCs/>
                <w:sz w:val="22"/>
                <w:szCs w:val="22"/>
                <w:lang w:eastAsia="en-GB"/>
              </w:rPr>
            </w:pPr>
            <w:r w:rsidRPr="00FE16B2">
              <w:rPr>
                <w:b/>
                <w:bCs/>
                <w:sz w:val="22"/>
                <w:szCs w:val="22"/>
                <w:lang w:eastAsia="en-GB"/>
              </w:rPr>
              <w:t xml:space="preserve">£   </w:t>
            </w:r>
          </w:p>
        </w:tc>
        <w:tc>
          <w:tcPr>
            <w:tcW w:w="283" w:type="dxa"/>
            <w:tcBorders>
              <w:top w:val="nil"/>
              <w:left w:val="nil"/>
              <w:bottom w:val="nil"/>
              <w:right w:val="nil"/>
            </w:tcBorders>
            <w:shd w:val="clear" w:color="auto" w:fill="auto"/>
            <w:noWrap/>
            <w:vAlign w:val="bottom"/>
            <w:hideMark/>
          </w:tcPr>
          <w:p w:rsidR="005D74BA" w:rsidRPr="00FE16B2" w:rsidRDefault="005D74BA" w:rsidP="00FE16B2">
            <w:pPr>
              <w:rPr>
                <w:sz w:val="22"/>
                <w:szCs w:val="22"/>
                <w:lang w:eastAsia="en-GB"/>
              </w:rPr>
            </w:pPr>
          </w:p>
        </w:tc>
        <w:tc>
          <w:tcPr>
            <w:tcW w:w="2001" w:type="dxa"/>
            <w:tcBorders>
              <w:top w:val="nil"/>
              <w:left w:val="nil"/>
              <w:bottom w:val="nil"/>
              <w:right w:val="nil"/>
            </w:tcBorders>
            <w:shd w:val="clear" w:color="auto" w:fill="auto"/>
            <w:noWrap/>
            <w:vAlign w:val="bottom"/>
            <w:hideMark/>
          </w:tcPr>
          <w:p w:rsidR="005D74BA" w:rsidRPr="00FE16B2" w:rsidRDefault="005D74BA" w:rsidP="00FE16B2">
            <w:pPr>
              <w:jc w:val="right"/>
              <w:rPr>
                <w:sz w:val="22"/>
                <w:szCs w:val="22"/>
                <w:lang w:eastAsia="en-GB"/>
              </w:rPr>
            </w:pPr>
            <w:r w:rsidRPr="00FE16B2">
              <w:rPr>
                <w:sz w:val="22"/>
                <w:szCs w:val="22"/>
                <w:lang w:eastAsia="en-GB"/>
              </w:rPr>
              <w:t xml:space="preserve">£   </w:t>
            </w:r>
          </w:p>
        </w:tc>
      </w:tr>
      <w:tr w:rsidR="005D74BA" w:rsidRPr="00FE16B2" w:rsidTr="005D74BA">
        <w:trPr>
          <w:trHeight w:val="300"/>
        </w:trPr>
        <w:tc>
          <w:tcPr>
            <w:tcW w:w="5446" w:type="dxa"/>
            <w:tcBorders>
              <w:top w:val="nil"/>
              <w:left w:val="nil"/>
              <w:bottom w:val="nil"/>
              <w:right w:val="nil"/>
            </w:tcBorders>
            <w:shd w:val="clear" w:color="auto" w:fill="auto"/>
            <w:noWrap/>
            <w:vAlign w:val="bottom"/>
            <w:hideMark/>
          </w:tcPr>
          <w:p w:rsidR="005D74BA" w:rsidRPr="00FE16B2" w:rsidRDefault="005D74BA" w:rsidP="00FE16B2">
            <w:pPr>
              <w:ind w:left="-108"/>
              <w:rPr>
                <w:bCs/>
                <w:sz w:val="22"/>
                <w:szCs w:val="22"/>
              </w:rPr>
            </w:pPr>
            <w:r w:rsidRPr="00FE16B2">
              <w:rPr>
                <w:bCs/>
                <w:sz w:val="22"/>
                <w:szCs w:val="22"/>
              </w:rPr>
              <w:t>Loss for the period</w:t>
            </w:r>
          </w:p>
        </w:tc>
        <w:tc>
          <w:tcPr>
            <w:tcW w:w="1500" w:type="dxa"/>
            <w:tcBorders>
              <w:top w:val="nil"/>
              <w:left w:val="nil"/>
              <w:bottom w:val="nil"/>
              <w:right w:val="nil"/>
            </w:tcBorders>
            <w:shd w:val="clear" w:color="auto" w:fill="auto"/>
            <w:noWrap/>
            <w:vAlign w:val="bottom"/>
            <w:hideMark/>
          </w:tcPr>
          <w:p w:rsidR="005D74BA" w:rsidRPr="00FE16B2" w:rsidRDefault="005D74BA" w:rsidP="00FE16B2">
            <w:pPr>
              <w:jc w:val="right"/>
              <w:rPr>
                <w:b/>
                <w:bCs/>
                <w:sz w:val="22"/>
                <w:szCs w:val="22"/>
                <w:lang w:eastAsia="en-GB"/>
              </w:rPr>
            </w:pPr>
            <w:r w:rsidRPr="00FE16B2">
              <w:rPr>
                <w:b/>
                <w:bCs/>
                <w:sz w:val="22"/>
                <w:szCs w:val="22"/>
                <w:lang w:eastAsia="en-GB"/>
              </w:rPr>
              <w:t xml:space="preserve">(21,319,700)  </w:t>
            </w:r>
          </w:p>
        </w:tc>
        <w:tc>
          <w:tcPr>
            <w:tcW w:w="283"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p>
        </w:tc>
        <w:tc>
          <w:tcPr>
            <w:tcW w:w="2001" w:type="dxa"/>
            <w:tcBorders>
              <w:top w:val="nil"/>
              <w:left w:val="nil"/>
              <w:bottom w:val="nil"/>
              <w:right w:val="nil"/>
            </w:tcBorders>
            <w:shd w:val="clear" w:color="auto" w:fill="auto"/>
            <w:noWrap/>
            <w:vAlign w:val="center"/>
            <w:hideMark/>
          </w:tcPr>
          <w:p w:rsidR="005D74BA" w:rsidRPr="00FE16B2" w:rsidRDefault="005D74BA" w:rsidP="00FE16B2">
            <w:pPr>
              <w:jc w:val="right"/>
              <w:rPr>
                <w:sz w:val="22"/>
                <w:szCs w:val="22"/>
                <w:lang w:eastAsia="en-GB"/>
              </w:rPr>
            </w:pPr>
            <w:r w:rsidRPr="00FE16B2">
              <w:rPr>
                <w:sz w:val="22"/>
                <w:szCs w:val="22"/>
                <w:lang w:eastAsia="en-GB"/>
              </w:rPr>
              <w:t xml:space="preserve">(464,441)  </w:t>
            </w:r>
          </w:p>
        </w:tc>
      </w:tr>
      <w:tr w:rsidR="005D74BA" w:rsidRPr="00FE16B2" w:rsidTr="005D74BA">
        <w:trPr>
          <w:trHeight w:val="300"/>
        </w:trPr>
        <w:tc>
          <w:tcPr>
            <w:tcW w:w="5446" w:type="dxa"/>
            <w:tcBorders>
              <w:top w:val="nil"/>
              <w:left w:val="nil"/>
              <w:bottom w:val="nil"/>
              <w:right w:val="nil"/>
            </w:tcBorders>
            <w:shd w:val="clear" w:color="auto" w:fill="auto"/>
            <w:noWrap/>
            <w:vAlign w:val="bottom"/>
            <w:hideMark/>
          </w:tcPr>
          <w:p w:rsidR="005D74BA" w:rsidRPr="00FE16B2" w:rsidRDefault="005D74BA" w:rsidP="00FE16B2">
            <w:pPr>
              <w:ind w:left="-108"/>
              <w:rPr>
                <w:bCs/>
                <w:sz w:val="22"/>
                <w:szCs w:val="22"/>
              </w:rPr>
            </w:pPr>
            <w:r w:rsidRPr="00FE16B2">
              <w:rPr>
                <w:bCs/>
                <w:sz w:val="22"/>
                <w:szCs w:val="22"/>
              </w:rPr>
              <w:t>Dividend paid</w:t>
            </w:r>
          </w:p>
        </w:tc>
        <w:tc>
          <w:tcPr>
            <w:tcW w:w="1500" w:type="dxa"/>
            <w:tcBorders>
              <w:top w:val="nil"/>
              <w:left w:val="nil"/>
              <w:right w:val="nil"/>
            </w:tcBorders>
            <w:shd w:val="clear" w:color="auto" w:fill="auto"/>
            <w:noWrap/>
            <w:vAlign w:val="center"/>
            <w:hideMark/>
          </w:tcPr>
          <w:p w:rsidR="005D74BA" w:rsidRPr="00FE16B2" w:rsidRDefault="005D74BA" w:rsidP="00FE16B2">
            <w:pPr>
              <w:jc w:val="right"/>
              <w:rPr>
                <w:b/>
                <w:bCs/>
                <w:sz w:val="22"/>
                <w:szCs w:val="22"/>
                <w:lang w:eastAsia="en-GB"/>
              </w:rPr>
            </w:pPr>
            <w:r w:rsidRPr="00FE16B2">
              <w:rPr>
                <w:b/>
                <w:bCs/>
                <w:sz w:val="22"/>
                <w:szCs w:val="22"/>
                <w:lang w:eastAsia="en-GB"/>
              </w:rPr>
              <w:t xml:space="preserve">(1,508,710)  </w:t>
            </w:r>
          </w:p>
        </w:tc>
        <w:tc>
          <w:tcPr>
            <w:tcW w:w="283"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p>
        </w:tc>
        <w:tc>
          <w:tcPr>
            <w:tcW w:w="2001" w:type="dxa"/>
            <w:tcBorders>
              <w:top w:val="nil"/>
              <w:left w:val="nil"/>
              <w:bottom w:val="nil"/>
              <w:right w:val="nil"/>
            </w:tcBorders>
            <w:shd w:val="clear" w:color="auto" w:fill="auto"/>
            <w:noWrap/>
            <w:vAlign w:val="center"/>
            <w:hideMark/>
          </w:tcPr>
          <w:p w:rsidR="005D74BA" w:rsidRPr="00FE16B2" w:rsidRDefault="005D74BA" w:rsidP="00FE16B2">
            <w:pPr>
              <w:jc w:val="right"/>
              <w:rPr>
                <w:sz w:val="22"/>
                <w:szCs w:val="22"/>
                <w:lang w:eastAsia="en-GB"/>
              </w:rPr>
            </w:pPr>
            <w:r w:rsidRPr="00FE16B2">
              <w:rPr>
                <w:sz w:val="22"/>
                <w:szCs w:val="22"/>
                <w:lang w:eastAsia="en-GB"/>
              </w:rPr>
              <w:t xml:space="preserve">(1,422,498)  </w:t>
            </w:r>
          </w:p>
        </w:tc>
      </w:tr>
      <w:tr w:rsidR="005D74BA" w:rsidRPr="00FE16B2" w:rsidTr="005D74BA">
        <w:trPr>
          <w:trHeight w:val="300"/>
        </w:trPr>
        <w:tc>
          <w:tcPr>
            <w:tcW w:w="5446" w:type="dxa"/>
            <w:tcBorders>
              <w:top w:val="nil"/>
              <w:left w:val="nil"/>
              <w:bottom w:val="nil"/>
              <w:right w:val="nil"/>
            </w:tcBorders>
            <w:shd w:val="clear" w:color="auto" w:fill="auto"/>
            <w:noWrap/>
            <w:vAlign w:val="bottom"/>
            <w:hideMark/>
          </w:tcPr>
          <w:p w:rsidR="005D74BA" w:rsidRPr="00FE16B2" w:rsidRDefault="005D74BA" w:rsidP="00FE16B2">
            <w:pPr>
              <w:ind w:left="-108"/>
              <w:rPr>
                <w:bCs/>
                <w:sz w:val="22"/>
                <w:szCs w:val="22"/>
              </w:rPr>
            </w:pPr>
          </w:p>
        </w:tc>
        <w:tc>
          <w:tcPr>
            <w:tcW w:w="1500" w:type="dxa"/>
            <w:tcBorders>
              <w:top w:val="single" w:sz="4" w:space="0" w:color="auto"/>
              <w:left w:val="nil"/>
              <w:bottom w:val="nil"/>
              <w:right w:val="nil"/>
            </w:tcBorders>
            <w:shd w:val="clear" w:color="auto" w:fill="auto"/>
            <w:noWrap/>
            <w:vAlign w:val="center"/>
            <w:hideMark/>
          </w:tcPr>
          <w:p w:rsidR="005D74BA" w:rsidRPr="00FE16B2" w:rsidRDefault="005D74BA" w:rsidP="00FE16B2">
            <w:pPr>
              <w:jc w:val="right"/>
              <w:rPr>
                <w:b/>
                <w:bCs/>
                <w:sz w:val="22"/>
                <w:szCs w:val="22"/>
                <w:lang w:eastAsia="en-GB"/>
              </w:rPr>
            </w:pPr>
            <w:r w:rsidRPr="00FE16B2">
              <w:rPr>
                <w:b/>
                <w:bCs/>
                <w:sz w:val="22"/>
                <w:szCs w:val="22"/>
                <w:lang w:eastAsia="en-GB"/>
              </w:rPr>
              <w:t xml:space="preserve">(22,828,410)  </w:t>
            </w:r>
          </w:p>
        </w:tc>
        <w:tc>
          <w:tcPr>
            <w:tcW w:w="283"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p>
        </w:tc>
        <w:tc>
          <w:tcPr>
            <w:tcW w:w="2001" w:type="dxa"/>
            <w:tcBorders>
              <w:top w:val="single" w:sz="4" w:space="0" w:color="auto"/>
              <w:left w:val="nil"/>
              <w:bottom w:val="nil"/>
              <w:right w:val="nil"/>
            </w:tcBorders>
            <w:shd w:val="clear" w:color="auto" w:fill="auto"/>
            <w:noWrap/>
            <w:vAlign w:val="center"/>
            <w:hideMark/>
          </w:tcPr>
          <w:p w:rsidR="005D74BA" w:rsidRPr="00FE16B2" w:rsidRDefault="001D0B57" w:rsidP="001D0B57">
            <w:pPr>
              <w:jc w:val="right"/>
              <w:rPr>
                <w:sz w:val="22"/>
                <w:szCs w:val="22"/>
                <w:lang w:eastAsia="en-GB"/>
              </w:rPr>
            </w:pPr>
            <w:r>
              <w:rPr>
                <w:sz w:val="22"/>
                <w:szCs w:val="22"/>
                <w:lang w:eastAsia="en-GB"/>
              </w:rPr>
              <w:t>(1,886</w:t>
            </w:r>
            <w:r w:rsidR="005D74BA" w:rsidRPr="00FE16B2">
              <w:rPr>
                <w:sz w:val="22"/>
                <w:szCs w:val="22"/>
                <w:lang w:eastAsia="en-GB"/>
              </w:rPr>
              <w:t>,</w:t>
            </w:r>
            <w:r>
              <w:rPr>
                <w:sz w:val="22"/>
                <w:szCs w:val="22"/>
                <w:lang w:eastAsia="en-GB"/>
              </w:rPr>
              <w:t>939</w:t>
            </w:r>
            <w:r w:rsidR="005D74BA" w:rsidRPr="00FE16B2">
              <w:rPr>
                <w:sz w:val="22"/>
                <w:szCs w:val="22"/>
                <w:lang w:eastAsia="en-GB"/>
              </w:rPr>
              <w:t xml:space="preserve">)  </w:t>
            </w:r>
          </w:p>
        </w:tc>
      </w:tr>
      <w:tr w:rsidR="005D74BA" w:rsidRPr="00FE16B2" w:rsidTr="005D74BA">
        <w:trPr>
          <w:trHeight w:val="300"/>
        </w:trPr>
        <w:tc>
          <w:tcPr>
            <w:tcW w:w="5446" w:type="dxa"/>
            <w:tcBorders>
              <w:top w:val="nil"/>
              <w:left w:val="nil"/>
              <w:bottom w:val="nil"/>
              <w:right w:val="nil"/>
            </w:tcBorders>
            <w:shd w:val="clear" w:color="auto" w:fill="auto"/>
            <w:noWrap/>
            <w:vAlign w:val="bottom"/>
            <w:hideMark/>
          </w:tcPr>
          <w:p w:rsidR="005D74BA" w:rsidRPr="00FE16B2" w:rsidRDefault="005D74BA" w:rsidP="00FE16B2">
            <w:pPr>
              <w:ind w:left="-108"/>
              <w:rPr>
                <w:bCs/>
                <w:sz w:val="22"/>
                <w:szCs w:val="22"/>
              </w:rPr>
            </w:pPr>
            <w:r w:rsidRPr="00FE16B2">
              <w:rPr>
                <w:bCs/>
                <w:sz w:val="22"/>
                <w:szCs w:val="22"/>
              </w:rPr>
              <w:t>Opening capital and reserves attributable to equity holders</w:t>
            </w:r>
          </w:p>
        </w:tc>
        <w:tc>
          <w:tcPr>
            <w:tcW w:w="1500" w:type="dxa"/>
            <w:tcBorders>
              <w:top w:val="nil"/>
              <w:left w:val="nil"/>
              <w:bottom w:val="nil"/>
              <w:right w:val="nil"/>
            </w:tcBorders>
            <w:shd w:val="clear" w:color="auto" w:fill="auto"/>
            <w:noWrap/>
            <w:vAlign w:val="center"/>
            <w:hideMark/>
          </w:tcPr>
          <w:p w:rsidR="005D74BA" w:rsidRPr="00FE16B2" w:rsidRDefault="005D74BA" w:rsidP="00FE16B2">
            <w:pPr>
              <w:jc w:val="right"/>
              <w:rPr>
                <w:b/>
                <w:bCs/>
                <w:sz w:val="22"/>
                <w:szCs w:val="22"/>
                <w:lang w:eastAsia="en-GB"/>
              </w:rPr>
            </w:pPr>
            <w:r w:rsidRPr="00FE16B2">
              <w:rPr>
                <w:b/>
                <w:bCs/>
                <w:sz w:val="22"/>
                <w:szCs w:val="22"/>
                <w:lang w:eastAsia="en-GB"/>
              </w:rPr>
              <w:t xml:space="preserve">74,638,810   </w:t>
            </w:r>
          </w:p>
        </w:tc>
        <w:tc>
          <w:tcPr>
            <w:tcW w:w="283"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p>
        </w:tc>
        <w:tc>
          <w:tcPr>
            <w:tcW w:w="2001" w:type="dxa"/>
            <w:tcBorders>
              <w:top w:val="nil"/>
              <w:left w:val="nil"/>
              <w:bottom w:val="nil"/>
              <w:right w:val="nil"/>
            </w:tcBorders>
            <w:shd w:val="clear" w:color="auto" w:fill="auto"/>
            <w:noWrap/>
            <w:vAlign w:val="center"/>
            <w:hideMark/>
          </w:tcPr>
          <w:p w:rsidR="005D74BA" w:rsidRPr="001D0B57" w:rsidRDefault="001D0B57" w:rsidP="00FE16B2">
            <w:pPr>
              <w:jc w:val="right"/>
              <w:rPr>
                <w:bCs/>
                <w:sz w:val="22"/>
                <w:szCs w:val="22"/>
                <w:lang w:eastAsia="en-GB"/>
              </w:rPr>
            </w:pPr>
            <w:r>
              <w:rPr>
                <w:bCs/>
                <w:sz w:val="22"/>
                <w:szCs w:val="22"/>
                <w:lang w:eastAsia="en-GB"/>
              </w:rPr>
              <w:t>76,525,749</w:t>
            </w:r>
            <w:r w:rsidR="005D74BA" w:rsidRPr="001D0B57">
              <w:rPr>
                <w:bCs/>
                <w:sz w:val="22"/>
                <w:szCs w:val="22"/>
                <w:lang w:eastAsia="en-GB"/>
              </w:rPr>
              <w:t xml:space="preserve">   </w:t>
            </w:r>
          </w:p>
        </w:tc>
      </w:tr>
      <w:tr w:rsidR="005D74BA" w:rsidRPr="00FE16B2" w:rsidTr="005D74BA">
        <w:trPr>
          <w:trHeight w:val="300"/>
        </w:trPr>
        <w:tc>
          <w:tcPr>
            <w:tcW w:w="5446" w:type="dxa"/>
            <w:tcBorders>
              <w:top w:val="nil"/>
              <w:left w:val="nil"/>
              <w:bottom w:val="nil"/>
              <w:right w:val="nil"/>
            </w:tcBorders>
            <w:shd w:val="clear" w:color="auto" w:fill="auto"/>
            <w:noWrap/>
            <w:vAlign w:val="bottom"/>
            <w:hideMark/>
          </w:tcPr>
          <w:p w:rsidR="005D74BA" w:rsidRPr="00FE16B2" w:rsidRDefault="005D74BA" w:rsidP="00FE16B2">
            <w:pPr>
              <w:ind w:left="-108"/>
              <w:rPr>
                <w:bCs/>
                <w:sz w:val="22"/>
                <w:szCs w:val="22"/>
              </w:rPr>
            </w:pPr>
            <w:r w:rsidRPr="00FE16B2">
              <w:rPr>
                <w:bCs/>
                <w:sz w:val="22"/>
                <w:szCs w:val="22"/>
              </w:rPr>
              <w:t>Closing capital and reserves attributable to equity holders</w:t>
            </w:r>
            <w:r w:rsidRPr="00FE16B2" w:rsidDel="009C34FC">
              <w:rPr>
                <w:bCs/>
                <w:sz w:val="22"/>
                <w:szCs w:val="22"/>
              </w:rPr>
              <w:t xml:space="preserve"> </w:t>
            </w:r>
          </w:p>
        </w:tc>
        <w:tc>
          <w:tcPr>
            <w:tcW w:w="1500" w:type="dxa"/>
            <w:tcBorders>
              <w:top w:val="single" w:sz="4" w:space="0" w:color="auto"/>
              <w:left w:val="nil"/>
              <w:bottom w:val="single" w:sz="8" w:space="0" w:color="auto"/>
              <w:right w:val="nil"/>
            </w:tcBorders>
            <w:shd w:val="clear" w:color="auto" w:fill="auto"/>
            <w:noWrap/>
            <w:vAlign w:val="center"/>
            <w:hideMark/>
          </w:tcPr>
          <w:p w:rsidR="005D74BA" w:rsidRPr="00FE16B2" w:rsidRDefault="005D74BA" w:rsidP="00FE16B2">
            <w:pPr>
              <w:jc w:val="right"/>
              <w:rPr>
                <w:b/>
                <w:bCs/>
                <w:sz w:val="22"/>
                <w:szCs w:val="22"/>
                <w:lang w:eastAsia="en-GB"/>
              </w:rPr>
            </w:pPr>
            <w:r w:rsidRPr="00FE16B2">
              <w:rPr>
                <w:b/>
                <w:bCs/>
                <w:sz w:val="22"/>
                <w:szCs w:val="22"/>
                <w:lang w:eastAsia="en-GB"/>
              </w:rPr>
              <w:t xml:space="preserve">51,810,400   </w:t>
            </w:r>
          </w:p>
        </w:tc>
        <w:tc>
          <w:tcPr>
            <w:tcW w:w="283"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p>
        </w:tc>
        <w:tc>
          <w:tcPr>
            <w:tcW w:w="2001" w:type="dxa"/>
            <w:tcBorders>
              <w:top w:val="single" w:sz="4" w:space="0" w:color="auto"/>
              <w:left w:val="nil"/>
              <w:bottom w:val="single" w:sz="8" w:space="0" w:color="auto"/>
              <w:right w:val="nil"/>
            </w:tcBorders>
            <w:shd w:val="clear" w:color="auto" w:fill="auto"/>
            <w:noWrap/>
            <w:vAlign w:val="center"/>
            <w:hideMark/>
          </w:tcPr>
          <w:p w:rsidR="005D74BA" w:rsidRPr="001D0B57" w:rsidRDefault="005D74BA" w:rsidP="00FE16B2">
            <w:pPr>
              <w:jc w:val="right"/>
              <w:rPr>
                <w:bCs/>
                <w:sz w:val="22"/>
                <w:szCs w:val="22"/>
                <w:lang w:eastAsia="en-GB"/>
              </w:rPr>
            </w:pPr>
            <w:r w:rsidRPr="001D0B57">
              <w:rPr>
                <w:bCs/>
                <w:sz w:val="22"/>
                <w:szCs w:val="22"/>
                <w:lang w:eastAsia="en-GB"/>
              </w:rPr>
              <w:t xml:space="preserve">74,638,810   </w:t>
            </w:r>
          </w:p>
        </w:tc>
      </w:tr>
    </w:tbl>
    <w:p w:rsidR="00FE16B2" w:rsidRPr="00FE16B2" w:rsidRDefault="00FE16B2" w:rsidP="00FE16B2">
      <w:pPr>
        <w:rPr>
          <w:bCs/>
          <w:sz w:val="22"/>
          <w:szCs w:val="22"/>
        </w:rPr>
      </w:pPr>
    </w:p>
    <w:p w:rsidR="00FE16B2" w:rsidRPr="00FE16B2" w:rsidRDefault="00FE16B2" w:rsidP="00FE16B2">
      <w:pPr>
        <w:rPr>
          <w:bCs/>
          <w:sz w:val="22"/>
          <w:szCs w:val="22"/>
        </w:rPr>
      </w:pPr>
    </w:p>
    <w:p w:rsidR="00FE16B2" w:rsidRPr="00FE16B2" w:rsidRDefault="00FE16B2" w:rsidP="00FE16B2">
      <w:pPr>
        <w:rPr>
          <w:bCs/>
          <w:sz w:val="22"/>
          <w:szCs w:val="22"/>
        </w:rPr>
      </w:pPr>
      <w:r w:rsidRPr="00FE16B2">
        <w:rPr>
          <w:bCs/>
          <w:sz w:val="22"/>
          <w:szCs w:val="22"/>
        </w:rPr>
        <w:t>The accompanying notes form an integral part of these financial statements.</w:t>
      </w:r>
    </w:p>
    <w:p w:rsidR="005D74BA" w:rsidRPr="00FE16B2" w:rsidRDefault="00FE16B2" w:rsidP="005D74BA">
      <w:pPr>
        <w:rPr>
          <w:sz w:val="22"/>
          <w:szCs w:val="22"/>
        </w:rPr>
      </w:pPr>
      <w:r w:rsidRPr="00FE16B2">
        <w:rPr>
          <w:bCs/>
          <w:sz w:val="22"/>
          <w:szCs w:val="22"/>
          <w:vertAlign w:val="superscript"/>
        </w:rPr>
        <w:t xml:space="preserve">* </w:t>
      </w:r>
      <w:r w:rsidRPr="00FE16B2">
        <w:rPr>
          <w:bCs/>
          <w:sz w:val="22"/>
          <w:szCs w:val="22"/>
        </w:rPr>
        <w:t xml:space="preserve">Restated in accordance with IAS8 Accounting Policies, Changes in Accounting Estimates and Errors.  </w:t>
      </w:r>
      <w:r w:rsidR="005D74BA" w:rsidRPr="00FE16B2">
        <w:rPr>
          <w:bCs/>
          <w:sz w:val="22"/>
          <w:szCs w:val="22"/>
        </w:rPr>
        <w:t>The financial impact of the restatement is set out in Note 23</w:t>
      </w:r>
      <w:r w:rsidR="005D74BA">
        <w:rPr>
          <w:bCs/>
          <w:sz w:val="22"/>
          <w:szCs w:val="22"/>
        </w:rPr>
        <w:t xml:space="preserve"> of the Annual Accounts </w:t>
      </w:r>
      <w:r w:rsidR="00E21100">
        <w:rPr>
          <w:bCs/>
          <w:sz w:val="22"/>
          <w:szCs w:val="22"/>
        </w:rPr>
        <w:t xml:space="preserve">which are available </w:t>
      </w:r>
      <w:r w:rsidR="005D74BA">
        <w:rPr>
          <w:bCs/>
          <w:sz w:val="22"/>
          <w:szCs w:val="22"/>
        </w:rPr>
        <w:t>at www.eloro.co.uk</w:t>
      </w:r>
    </w:p>
    <w:p w:rsidR="00FE16B2" w:rsidRDefault="00FE16B2">
      <w:pPr>
        <w:rPr>
          <w:color w:val="002060"/>
          <w:sz w:val="22"/>
          <w:szCs w:val="22"/>
        </w:rPr>
      </w:pPr>
      <w:r>
        <w:rPr>
          <w:color w:val="002060"/>
          <w:sz w:val="22"/>
          <w:szCs w:val="22"/>
        </w:rPr>
        <w:br w:type="page"/>
      </w:r>
    </w:p>
    <w:p w:rsidR="00FE16B2" w:rsidRPr="00FE16B2" w:rsidRDefault="00FE16B2" w:rsidP="00FE16B2">
      <w:pPr>
        <w:rPr>
          <w:b/>
          <w:bCs/>
          <w:sz w:val="22"/>
          <w:szCs w:val="22"/>
        </w:rPr>
      </w:pPr>
      <w:r>
        <w:rPr>
          <w:b/>
          <w:bCs/>
          <w:sz w:val="22"/>
          <w:szCs w:val="22"/>
        </w:rPr>
        <w:lastRenderedPageBreak/>
        <w:t>CONSOLIDATED BALANCE SHEET</w:t>
      </w:r>
    </w:p>
    <w:p w:rsidR="00FE16B2" w:rsidRPr="00FE16B2" w:rsidRDefault="00FE16B2" w:rsidP="00FE16B2">
      <w:pPr>
        <w:spacing w:line="312" w:lineRule="auto"/>
        <w:rPr>
          <w:spacing w:val="2"/>
          <w:sz w:val="18"/>
          <w:szCs w:val="18"/>
        </w:rPr>
      </w:pPr>
      <w:proofErr w:type="gramStart"/>
      <w:r w:rsidRPr="00FE16B2">
        <w:rPr>
          <w:spacing w:val="2"/>
          <w:sz w:val="18"/>
          <w:szCs w:val="18"/>
        </w:rPr>
        <w:t>at</w:t>
      </w:r>
      <w:proofErr w:type="gramEnd"/>
      <w:r w:rsidRPr="00FE16B2">
        <w:rPr>
          <w:spacing w:val="2"/>
          <w:sz w:val="18"/>
          <w:szCs w:val="18"/>
        </w:rPr>
        <w:t xml:space="preserve"> 30 June 2009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53"/>
        <w:gridCol w:w="1417"/>
        <w:gridCol w:w="284"/>
        <w:gridCol w:w="1337"/>
      </w:tblGrid>
      <w:tr w:rsidR="00FE16B2" w:rsidRPr="00FE16B2" w:rsidTr="00FE16B2">
        <w:trPr>
          <w:cantSplit/>
          <w:trHeight w:hRule="exact" w:val="894"/>
        </w:trPr>
        <w:tc>
          <w:tcPr>
            <w:tcW w:w="5353" w:type="dxa"/>
            <w:vAlign w:val="bottom"/>
          </w:tcPr>
          <w:p w:rsidR="00FE16B2" w:rsidRPr="00FE16B2" w:rsidRDefault="00FE16B2" w:rsidP="00FE16B2">
            <w:pPr>
              <w:spacing w:after="120" w:line="322" w:lineRule="auto"/>
              <w:rPr>
                <w:rFonts w:ascii="Times New Roman" w:hAnsi="Times New Roman" w:cs="Times New Roman"/>
                <w:bCs/>
              </w:rPr>
            </w:pPr>
          </w:p>
        </w:tc>
        <w:tc>
          <w:tcPr>
            <w:tcW w:w="1417" w:type="dxa"/>
            <w:vAlign w:val="bottom"/>
          </w:tcPr>
          <w:p w:rsidR="00FE16B2" w:rsidRPr="00FE16B2" w:rsidRDefault="00FE16B2" w:rsidP="00FE16B2">
            <w:pPr>
              <w:tabs>
                <w:tab w:val="decimal" w:pos="2073"/>
              </w:tabs>
              <w:jc w:val="right"/>
              <w:rPr>
                <w:rFonts w:ascii="Times New Roman" w:hAnsi="Times New Roman" w:cs="Times New Roman"/>
                <w:b/>
                <w:bCs/>
              </w:rPr>
            </w:pPr>
          </w:p>
          <w:p w:rsidR="00FE16B2" w:rsidRPr="00FE16B2" w:rsidRDefault="00FE16B2" w:rsidP="00FE16B2">
            <w:pPr>
              <w:tabs>
                <w:tab w:val="decimal" w:pos="2073"/>
              </w:tabs>
              <w:jc w:val="right"/>
              <w:rPr>
                <w:rFonts w:ascii="Times New Roman" w:hAnsi="Times New Roman" w:cs="Times New Roman"/>
                <w:b/>
                <w:bCs/>
              </w:rPr>
            </w:pPr>
            <w:r w:rsidRPr="00FE16B2">
              <w:rPr>
                <w:rFonts w:ascii="Times New Roman" w:hAnsi="Times New Roman" w:cs="Times New Roman"/>
                <w:b/>
                <w:bCs/>
              </w:rPr>
              <w:t xml:space="preserve">30 June 2009 </w:t>
            </w:r>
          </w:p>
          <w:p w:rsidR="00FE16B2" w:rsidRPr="00FE16B2" w:rsidRDefault="00FE16B2" w:rsidP="00FE16B2">
            <w:pPr>
              <w:tabs>
                <w:tab w:val="decimal" w:pos="2073"/>
              </w:tabs>
              <w:jc w:val="right"/>
              <w:rPr>
                <w:rFonts w:ascii="Times New Roman" w:hAnsi="Times New Roman" w:cs="Times New Roman"/>
                <w:b/>
                <w:bCs/>
              </w:rPr>
            </w:pPr>
            <w:r w:rsidRPr="00FE16B2">
              <w:rPr>
                <w:rFonts w:ascii="Times New Roman" w:hAnsi="Times New Roman" w:cs="Times New Roman"/>
                <w:b/>
                <w:bCs/>
              </w:rPr>
              <w:t>£</w:t>
            </w:r>
          </w:p>
        </w:tc>
        <w:tc>
          <w:tcPr>
            <w:tcW w:w="284" w:type="dxa"/>
            <w:vAlign w:val="bottom"/>
          </w:tcPr>
          <w:p w:rsidR="00FE16B2" w:rsidRPr="00FE16B2" w:rsidRDefault="00FE16B2" w:rsidP="00FE16B2">
            <w:pPr>
              <w:spacing w:after="120" w:line="322" w:lineRule="auto"/>
              <w:jc w:val="right"/>
              <w:rPr>
                <w:rFonts w:ascii="Times New Roman" w:hAnsi="Times New Roman" w:cs="Times New Roman"/>
                <w:bCs/>
              </w:rPr>
            </w:pPr>
          </w:p>
        </w:tc>
        <w:tc>
          <w:tcPr>
            <w:tcW w:w="1337" w:type="dxa"/>
            <w:vAlign w:val="bottom"/>
          </w:tcPr>
          <w:p w:rsidR="00FE16B2" w:rsidRPr="00FE16B2" w:rsidRDefault="00FE16B2" w:rsidP="005D74BA">
            <w:pPr>
              <w:jc w:val="right"/>
              <w:rPr>
                <w:rFonts w:ascii="Times New Roman" w:hAnsi="Times New Roman" w:cs="Times New Roman"/>
                <w:b/>
                <w:bCs/>
              </w:rPr>
            </w:pPr>
            <w:r w:rsidRPr="00FE16B2">
              <w:rPr>
                <w:rFonts w:ascii="Times New Roman" w:hAnsi="Times New Roman" w:cs="Times New Roman"/>
                <w:bCs/>
                <w:vertAlign w:val="superscript"/>
              </w:rPr>
              <w:t xml:space="preserve">* </w:t>
            </w:r>
            <w:r w:rsidRPr="005D74BA">
              <w:rPr>
                <w:rFonts w:ascii="Times New Roman" w:hAnsi="Times New Roman" w:cs="Times New Roman"/>
                <w:b/>
                <w:bCs/>
                <w:sz w:val="18"/>
                <w:szCs w:val="18"/>
              </w:rPr>
              <w:t>Restated</w:t>
            </w:r>
          </w:p>
          <w:p w:rsidR="00FE16B2" w:rsidRPr="00FE16B2" w:rsidRDefault="00FE16B2" w:rsidP="00FE16B2">
            <w:pPr>
              <w:tabs>
                <w:tab w:val="decimal" w:pos="2073"/>
              </w:tabs>
              <w:jc w:val="right"/>
              <w:rPr>
                <w:rFonts w:ascii="Times New Roman" w:hAnsi="Times New Roman" w:cs="Times New Roman"/>
                <w:bCs/>
              </w:rPr>
            </w:pPr>
            <w:r w:rsidRPr="00FE16B2">
              <w:rPr>
                <w:rFonts w:ascii="Times New Roman" w:hAnsi="Times New Roman" w:cs="Times New Roman"/>
                <w:bCs/>
              </w:rPr>
              <w:t>30 June 2008</w:t>
            </w:r>
          </w:p>
          <w:p w:rsidR="00FE16B2" w:rsidRPr="00FE16B2" w:rsidRDefault="00FE16B2" w:rsidP="00FE16B2">
            <w:pPr>
              <w:tabs>
                <w:tab w:val="decimal" w:pos="2073"/>
              </w:tabs>
              <w:ind w:right="142"/>
              <w:jc w:val="right"/>
              <w:rPr>
                <w:rFonts w:ascii="Times New Roman" w:hAnsi="Times New Roman" w:cs="Times New Roman"/>
                <w:bCs/>
              </w:rPr>
            </w:pPr>
            <w:r w:rsidRPr="00FE16B2">
              <w:rPr>
                <w:rFonts w:ascii="Times New Roman" w:hAnsi="Times New Roman" w:cs="Times New Roman"/>
                <w:bCs/>
              </w:rPr>
              <w:t>£</w:t>
            </w:r>
          </w:p>
        </w:tc>
      </w:tr>
      <w:tr w:rsidR="00FE16B2" w:rsidRPr="00FE16B2" w:rsidTr="00FE16B2">
        <w:trPr>
          <w:cantSplit/>
          <w:trHeight w:hRule="exact" w:val="397"/>
        </w:trPr>
        <w:tc>
          <w:tcPr>
            <w:tcW w:w="5353" w:type="dxa"/>
            <w:vAlign w:val="bottom"/>
          </w:tcPr>
          <w:p w:rsidR="00FE16B2" w:rsidRPr="00FE16B2" w:rsidRDefault="00FE16B2" w:rsidP="00FE16B2">
            <w:pPr>
              <w:spacing w:after="200" w:line="276" w:lineRule="auto"/>
              <w:rPr>
                <w:rFonts w:ascii="Times New Roman" w:hAnsi="Times New Roman" w:cs="Times New Roman"/>
                <w:b/>
                <w:bCs/>
              </w:rPr>
            </w:pPr>
            <w:r w:rsidRPr="00FE16B2">
              <w:rPr>
                <w:rFonts w:ascii="Times New Roman" w:hAnsi="Times New Roman" w:cs="Times New Roman"/>
                <w:b/>
                <w:bCs/>
              </w:rPr>
              <w:t>Tangible assets</w:t>
            </w:r>
          </w:p>
        </w:tc>
        <w:tc>
          <w:tcPr>
            <w:tcW w:w="1417" w:type="dxa"/>
          </w:tcPr>
          <w:p w:rsidR="00FE16B2" w:rsidRPr="00FE16B2" w:rsidRDefault="00FE16B2" w:rsidP="00FE16B2">
            <w:pPr>
              <w:spacing w:after="120" w:line="322" w:lineRule="auto"/>
              <w:jc w:val="right"/>
              <w:rPr>
                <w:rFonts w:ascii="Times New Roman" w:hAnsi="Times New Roman" w:cs="Times New Roman"/>
                <w:b/>
                <w:bCs/>
              </w:rPr>
            </w:pPr>
          </w:p>
        </w:tc>
        <w:tc>
          <w:tcPr>
            <w:tcW w:w="284" w:type="dxa"/>
          </w:tcPr>
          <w:p w:rsidR="00FE16B2" w:rsidRPr="00FE16B2" w:rsidRDefault="00FE16B2" w:rsidP="00FE16B2">
            <w:pPr>
              <w:spacing w:after="120" w:line="322" w:lineRule="auto"/>
              <w:jc w:val="right"/>
              <w:rPr>
                <w:rFonts w:ascii="Times New Roman" w:hAnsi="Times New Roman" w:cs="Times New Roman"/>
                <w:bCs/>
              </w:rPr>
            </w:pPr>
          </w:p>
        </w:tc>
        <w:tc>
          <w:tcPr>
            <w:tcW w:w="1337" w:type="dxa"/>
          </w:tcPr>
          <w:p w:rsidR="00FE16B2" w:rsidRPr="00FE16B2" w:rsidRDefault="00FE16B2" w:rsidP="00FE16B2">
            <w:pPr>
              <w:jc w:val="right"/>
              <w:rPr>
                <w:rFonts w:ascii="Times New Roman" w:hAnsi="Times New Roman" w:cs="Times New Roman"/>
                <w:bCs/>
              </w:rPr>
            </w:pPr>
          </w:p>
        </w:tc>
      </w:tr>
      <w:tr w:rsidR="00FE16B2" w:rsidRPr="00FE16B2" w:rsidTr="00FE16B2">
        <w:trPr>
          <w:cantSplit/>
          <w:trHeight w:hRule="exact" w:val="284"/>
        </w:trPr>
        <w:tc>
          <w:tcPr>
            <w:tcW w:w="5353" w:type="dxa"/>
            <w:vAlign w:val="center"/>
          </w:tcPr>
          <w:p w:rsidR="00FE16B2" w:rsidRPr="00FE16B2" w:rsidRDefault="00FE16B2" w:rsidP="00FE16B2">
            <w:pPr>
              <w:spacing w:after="200" w:line="276" w:lineRule="auto"/>
              <w:rPr>
                <w:rFonts w:ascii="Times New Roman" w:hAnsi="Times New Roman" w:cs="Times New Roman"/>
                <w:bCs/>
              </w:rPr>
            </w:pPr>
            <w:r w:rsidRPr="00FE16B2">
              <w:rPr>
                <w:rFonts w:ascii="Times New Roman" w:hAnsi="Times New Roman" w:cs="Times New Roman"/>
                <w:bCs/>
              </w:rPr>
              <w:t>Property, plant and equipment</w:t>
            </w:r>
          </w:p>
        </w:tc>
        <w:tc>
          <w:tcPr>
            <w:tcW w:w="1417" w:type="dxa"/>
            <w:vAlign w:val="center"/>
          </w:tcPr>
          <w:p w:rsidR="00FE16B2" w:rsidRPr="00FE16B2" w:rsidRDefault="00FE16B2" w:rsidP="00FE16B2">
            <w:pPr>
              <w:tabs>
                <w:tab w:val="decimal" w:pos="1121"/>
              </w:tabs>
              <w:spacing w:after="200" w:line="276" w:lineRule="auto"/>
              <w:jc w:val="right"/>
              <w:rPr>
                <w:rFonts w:ascii="Times New Roman" w:hAnsi="Times New Roman" w:cs="Times New Roman"/>
                <w:b/>
                <w:bCs/>
              </w:rPr>
            </w:pPr>
            <w:r w:rsidRPr="00FE16B2">
              <w:rPr>
                <w:rFonts w:ascii="Times New Roman" w:hAnsi="Times New Roman" w:cs="Times New Roman"/>
                <w:b/>
                <w:bCs/>
              </w:rPr>
              <w:t>705,872</w:t>
            </w:r>
          </w:p>
        </w:tc>
        <w:tc>
          <w:tcPr>
            <w:tcW w:w="284" w:type="dxa"/>
          </w:tcPr>
          <w:p w:rsidR="00FE16B2" w:rsidRPr="00FE16B2" w:rsidRDefault="00FE16B2" w:rsidP="00FE16B2">
            <w:pPr>
              <w:spacing w:after="120" w:line="322" w:lineRule="auto"/>
              <w:jc w:val="right"/>
              <w:rPr>
                <w:rFonts w:ascii="Times New Roman" w:hAnsi="Times New Roman" w:cs="Times New Roman"/>
                <w:bCs/>
              </w:rPr>
            </w:pPr>
          </w:p>
        </w:tc>
        <w:tc>
          <w:tcPr>
            <w:tcW w:w="1337" w:type="dxa"/>
            <w:vAlign w:val="center"/>
          </w:tcPr>
          <w:p w:rsidR="00FE16B2" w:rsidRPr="00FE16B2" w:rsidRDefault="00FE16B2" w:rsidP="00FE16B2">
            <w:pPr>
              <w:tabs>
                <w:tab w:val="decimal" w:pos="1121"/>
              </w:tabs>
              <w:spacing w:after="200" w:line="276" w:lineRule="auto"/>
              <w:jc w:val="right"/>
              <w:rPr>
                <w:rFonts w:ascii="Times New Roman" w:hAnsi="Times New Roman" w:cs="Times New Roman"/>
                <w:bCs/>
              </w:rPr>
            </w:pPr>
            <w:r w:rsidRPr="00FE16B2">
              <w:rPr>
                <w:rFonts w:ascii="Times New Roman" w:hAnsi="Times New Roman" w:cs="Times New Roman"/>
                <w:bCs/>
              </w:rPr>
              <w:t>708,073</w:t>
            </w:r>
          </w:p>
        </w:tc>
      </w:tr>
      <w:tr w:rsidR="00FE16B2" w:rsidRPr="00FE16B2" w:rsidTr="00FE16B2">
        <w:trPr>
          <w:cantSplit/>
          <w:trHeight w:hRule="exact" w:val="284"/>
        </w:trPr>
        <w:tc>
          <w:tcPr>
            <w:tcW w:w="5353" w:type="dxa"/>
            <w:vAlign w:val="center"/>
          </w:tcPr>
          <w:p w:rsidR="00FE16B2" w:rsidRPr="00FE16B2" w:rsidRDefault="00FE16B2" w:rsidP="00FE16B2">
            <w:pPr>
              <w:spacing w:after="200" w:line="276" w:lineRule="auto"/>
              <w:rPr>
                <w:rFonts w:ascii="Times New Roman" w:hAnsi="Times New Roman" w:cs="Times New Roman"/>
                <w:bCs/>
              </w:rPr>
            </w:pPr>
            <w:r w:rsidRPr="00FE16B2">
              <w:rPr>
                <w:rFonts w:ascii="Times New Roman" w:hAnsi="Times New Roman" w:cs="Times New Roman"/>
                <w:bCs/>
              </w:rPr>
              <w:t>Investment properties</w:t>
            </w:r>
          </w:p>
        </w:tc>
        <w:tc>
          <w:tcPr>
            <w:tcW w:w="1417" w:type="dxa"/>
            <w:tcBorders>
              <w:bottom w:val="single" w:sz="4" w:space="0" w:color="000000" w:themeColor="text1"/>
            </w:tcBorders>
            <w:vAlign w:val="center"/>
          </w:tcPr>
          <w:p w:rsidR="00FE16B2" w:rsidRPr="00FE16B2" w:rsidRDefault="00FE16B2" w:rsidP="00FE16B2">
            <w:pPr>
              <w:tabs>
                <w:tab w:val="decimal" w:pos="1121"/>
              </w:tabs>
              <w:spacing w:after="200" w:line="276" w:lineRule="auto"/>
              <w:jc w:val="right"/>
              <w:rPr>
                <w:rFonts w:ascii="Times New Roman" w:hAnsi="Times New Roman" w:cs="Times New Roman"/>
                <w:bCs/>
              </w:rPr>
            </w:pPr>
            <w:r w:rsidRPr="00FE16B2">
              <w:rPr>
                <w:rFonts w:ascii="Times New Roman" w:hAnsi="Times New Roman" w:cs="Times New Roman"/>
                <w:bCs/>
              </w:rPr>
              <w:t>-</w:t>
            </w:r>
          </w:p>
        </w:tc>
        <w:tc>
          <w:tcPr>
            <w:tcW w:w="284" w:type="dxa"/>
          </w:tcPr>
          <w:p w:rsidR="00FE16B2" w:rsidRPr="00FE16B2" w:rsidRDefault="00FE16B2" w:rsidP="00FE16B2">
            <w:pPr>
              <w:spacing w:after="120" w:line="322" w:lineRule="auto"/>
              <w:jc w:val="right"/>
              <w:rPr>
                <w:rFonts w:ascii="Times New Roman" w:hAnsi="Times New Roman" w:cs="Times New Roman"/>
                <w:bCs/>
              </w:rPr>
            </w:pPr>
          </w:p>
        </w:tc>
        <w:tc>
          <w:tcPr>
            <w:tcW w:w="1337" w:type="dxa"/>
            <w:tcBorders>
              <w:bottom w:val="single" w:sz="4" w:space="0" w:color="000000" w:themeColor="text1"/>
            </w:tcBorders>
            <w:vAlign w:val="center"/>
          </w:tcPr>
          <w:p w:rsidR="00FE16B2" w:rsidRPr="00FE16B2" w:rsidRDefault="00FE16B2" w:rsidP="00FE16B2">
            <w:pPr>
              <w:tabs>
                <w:tab w:val="decimal" w:pos="1121"/>
              </w:tabs>
              <w:spacing w:after="200" w:line="276" w:lineRule="auto"/>
              <w:jc w:val="right"/>
              <w:rPr>
                <w:rFonts w:ascii="Times New Roman" w:hAnsi="Times New Roman" w:cs="Times New Roman"/>
                <w:bCs/>
              </w:rPr>
            </w:pPr>
            <w:r w:rsidRPr="00FE16B2">
              <w:rPr>
                <w:rFonts w:ascii="Times New Roman" w:hAnsi="Times New Roman" w:cs="Times New Roman"/>
                <w:bCs/>
              </w:rPr>
              <w:t>131,941</w:t>
            </w:r>
          </w:p>
        </w:tc>
      </w:tr>
      <w:tr w:rsidR="00FE16B2" w:rsidRPr="00FE16B2" w:rsidTr="00FE16B2">
        <w:trPr>
          <w:cantSplit/>
          <w:trHeight w:hRule="exact" w:val="284"/>
        </w:trPr>
        <w:tc>
          <w:tcPr>
            <w:tcW w:w="5353" w:type="dxa"/>
          </w:tcPr>
          <w:p w:rsidR="00FE16B2" w:rsidRPr="00FE16B2" w:rsidRDefault="00FE16B2" w:rsidP="00FE16B2">
            <w:pPr>
              <w:rPr>
                <w:rFonts w:ascii="Times New Roman" w:hAnsi="Times New Roman" w:cs="Times New Roman"/>
                <w:bCs/>
              </w:rPr>
            </w:pPr>
          </w:p>
        </w:tc>
        <w:tc>
          <w:tcPr>
            <w:tcW w:w="1417" w:type="dxa"/>
            <w:tcBorders>
              <w:top w:val="single" w:sz="4" w:space="0" w:color="000000" w:themeColor="text1"/>
              <w:bottom w:val="single" w:sz="4" w:space="0" w:color="000000" w:themeColor="text1"/>
            </w:tcBorders>
          </w:tcPr>
          <w:p w:rsidR="00FE16B2" w:rsidRPr="00FE16B2" w:rsidRDefault="00FE16B2" w:rsidP="00FE16B2">
            <w:pPr>
              <w:spacing w:after="120" w:line="322" w:lineRule="auto"/>
              <w:jc w:val="right"/>
              <w:rPr>
                <w:rFonts w:ascii="Times New Roman" w:hAnsi="Times New Roman" w:cs="Times New Roman"/>
                <w:b/>
                <w:bCs/>
              </w:rPr>
            </w:pPr>
            <w:r w:rsidRPr="00FE16B2">
              <w:rPr>
                <w:rFonts w:ascii="Times New Roman" w:hAnsi="Times New Roman" w:cs="Times New Roman"/>
                <w:b/>
                <w:bCs/>
              </w:rPr>
              <w:t>705,872</w:t>
            </w:r>
          </w:p>
        </w:tc>
        <w:tc>
          <w:tcPr>
            <w:tcW w:w="284" w:type="dxa"/>
          </w:tcPr>
          <w:p w:rsidR="00FE16B2" w:rsidRPr="00FE16B2" w:rsidRDefault="00FE16B2" w:rsidP="00FE16B2">
            <w:pPr>
              <w:spacing w:after="120" w:line="322" w:lineRule="auto"/>
              <w:jc w:val="right"/>
              <w:rPr>
                <w:rFonts w:ascii="Times New Roman" w:hAnsi="Times New Roman" w:cs="Times New Roman"/>
                <w:bCs/>
              </w:rPr>
            </w:pPr>
          </w:p>
        </w:tc>
        <w:tc>
          <w:tcPr>
            <w:tcW w:w="1337" w:type="dxa"/>
            <w:tcBorders>
              <w:top w:val="single" w:sz="4" w:space="0" w:color="000000" w:themeColor="text1"/>
              <w:bottom w:val="single" w:sz="4" w:space="0" w:color="000000" w:themeColor="text1"/>
            </w:tcBorders>
            <w:vAlign w:val="center"/>
          </w:tcPr>
          <w:p w:rsidR="00FE16B2" w:rsidRPr="00FE16B2" w:rsidRDefault="00FE16B2" w:rsidP="00FE16B2">
            <w:pPr>
              <w:tabs>
                <w:tab w:val="decimal" w:pos="1121"/>
              </w:tabs>
              <w:spacing w:after="200" w:line="276" w:lineRule="auto"/>
              <w:jc w:val="right"/>
              <w:rPr>
                <w:rFonts w:ascii="Times New Roman" w:hAnsi="Times New Roman" w:cs="Times New Roman"/>
                <w:bCs/>
              </w:rPr>
            </w:pPr>
            <w:r w:rsidRPr="00FE16B2">
              <w:rPr>
                <w:rFonts w:ascii="Times New Roman" w:hAnsi="Times New Roman" w:cs="Times New Roman"/>
                <w:bCs/>
              </w:rPr>
              <w:t>840,014</w:t>
            </w:r>
          </w:p>
        </w:tc>
      </w:tr>
      <w:tr w:rsidR="00FE16B2" w:rsidRPr="00FE16B2" w:rsidTr="00FE16B2">
        <w:trPr>
          <w:cantSplit/>
          <w:trHeight w:hRule="exact" w:val="397"/>
        </w:trPr>
        <w:tc>
          <w:tcPr>
            <w:tcW w:w="5353" w:type="dxa"/>
            <w:vAlign w:val="bottom"/>
          </w:tcPr>
          <w:p w:rsidR="00FE16B2" w:rsidRPr="00FE16B2" w:rsidRDefault="00FE16B2" w:rsidP="00FE16B2">
            <w:pPr>
              <w:spacing w:after="200" w:line="276" w:lineRule="auto"/>
              <w:rPr>
                <w:rFonts w:ascii="Times New Roman" w:hAnsi="Times New Roman" w:cs="Times New Roman"/>
                <w:b/>
                <w:bCs/>
              </w:rPr>
            </w:pPr>
            <w:r w:rsidRPr="00FE16B2">
              <w:rPr>
                <w:rFonts w:ascii="Times New Roman" w:hAnsi="Times New Roman" w:cs="Times New Roman"/>
                <w:b/>
                <w:bCs/>
              </w:rPr>
              <w:t>Current assets</w:t>
            </w:r>
          </w:p>
        </w:tc>
        <w:tc>
          <w:tcPr>
            <w:tcW w:w="1417" w:type="dxa"/>
            <w:tcBorders>
              <w:top w:val="single" w:sz="4" w:space="0" w:color="000000" w:themeColor="text1"/>
            </w:tcBorders>
          </w:tcPr>
          <w:p w:rsidR="00FE16B2" w:rsidRPr="00FE16B2" w:rsidRDefault="00FE16B2" w:rsidP="00FE16B2">
            <w:pPr>
              <w:spacing w:after="120" w:line="322" w:lineRule="auto"/>
              <w:jc w:val="right"/>
              <w:rPr>
                <w:rFonts w:ascii="Times New Roman" w:hAnsi="Times New Roman" w:cs="Times New Roman"/>
                <w:b/>
                <w:bCs/>
              </w:rPr>
            </w:pPr>
          </w:p>
        </w:tc>
        <w:tc>
          <w:tcPr>
            <w:tcW w:w="284" w:type="dxa"/>
          </w:tcPr>
          <w:p w:rsidR="00FE16B2" w:rsidRPr="00FE16B2" w:rsidRDefault="00FE16B2" w:rsidP="00FE16B2">
            <w:pPr>
              <w:spacing w:after="120" w:line="322" w:lineRule="auto"/>
              <w:jc w:val="right"/>
              <w:rPr>
                <w:rFonts w:ascii="Times New Roman" w:hAnsi="Times New Roman" w:cs="Times New Roman"/>
                <w:bCs/>
              </w:rPr>
            </w:pPr>
          </w:p>
        </w:tc>
        <w:tc>
          <w:tcPr>
            <w:tcW w:w="1337" w:type="dxa"/>
            <w:tcBorders>
              <w:top w:val="single" w:sz="4" w:space="0" w:color="000000" w:themeColor="text1"/>
            </w:tcBorders>
            <w:vAlign w:val="center"/>
          </w:tcPr>
          <w:p w:rsidR="00FE16B2" w:rsidRPr="00FE16B2" w:rsidRDefault="00FE16B2" w:rsidP="00FE16B2">
            <w:pPr>
              <w:tabs>
                <w:tab w:val="decimal" w:pos="1121"/>
              </w:tabs>
              <w:spacing w:after="200" w:line="276" w:lineRule="auto"/>
              <w:jc w:val="right"/>
              <w:rPr>
                <w:rFonts w:ascii="Times New Roman" w:hAnsi="Times New Roman" w:cs="Times New Roman"/>
                <w:bCs/>
              </w:rPr>
            </w:pPr>
          </w:p>
        </w:tc>
      </w:tr>
      <w:tr w:rsidR="00FE16B2" w:rsidRPr="00FE16B2" w:rsidTr="00FE16B2">
        <w:trPr>
          <w:cantSplit/>
          <w:trHeight w:hRule="exact" w:val="284"/>
        </w:trPr>
        <w:tc>
          <w:tcPr>
            <w:tcW w:w="5353" w:type="dxa"/>
            <w:vAlign w:val="center"/>
          </w:tcPr>
          <w:p w:rsidR="00FE16B2" w:rsidRPr="00FE16B2" w:rsidRDefault="00FE16B2" w:rsidP="00FE16B2">
            <w:pPr>
              <w:spacing w:after="200" w:line="276" w:lineRule="auto"/>
              <w:rPr>
                <w:rFonts w:ascii="Times New Roman" w:hAnsi="Times New Roman" w:cs="Times New Roman"/>
                <w:bCs/>
              </w:rPr>
            </w:pPr>
            <w:r w:rsidRPr="00FE16B2">
              <w:rPr>
                <w:rFonts w:ascii="Times New Roman" w:hAnsi="Times New Roman" w:cs="Times New Roman"/>
                <w:bCs/>
              </w:rPr>
              <w:t>Trade and other receivables</w:t>
            </w:r>
          </w:p>
        </w:tc>
        <w:tc>
          <w:tcPr>
            <w:tcW w:w="1417" w:type="dxa"/>
          </w:tcPr>
          <w:p w:rsidR="00FE16B2" w:rsidRPr="00FE16B2" w:rsidRDefault="00FE16B2" w:rsidP="00FE16B2">
            <w:pPr>
              <w:spacing w:after="120" w:line="322" w:lineRule="auto"/>
              <w:jc w:val="right"/>
              <w:rPr>
                <w:rFonts w:ascii="Times New Roman" w:hAnsi="Times New Roman" w:cs="Times New Roman"/>
                <w:b/>
                <w:bCs/>
              </w:rPr>
            </w:pPr>
            <w:r w:rsidRPr="00FE16B2">
              <w:rPr>
                <w:rFonts w:ascii="Times New Roman" w:hAnsi="Times New Roman" w:cs="Times New Roman"/>
                <w:b/>
                <w:bCs/>
              </w:rPr>
              <w:t>936,347</w:t>
            </w:r>
          </w:p>
        </w:tc>
        <w:tc>
          <w:tcPr>
            <w:tcW w:w="284" w:type="dxa"/>
          </w:tcPr>
          <w:p w:rsidR="00FE16B2" w:rsidRPr="00FE16B2" w:rsidRDefault="00FE16B2" w:rsidP="00FE16B2">
            <w:pPr>
              <w:spacing w:after="120" w:line="322" w:lineRule="auto"/>
              <w:jc w:val="right"/>
              <w:rPr>
                <w:rFonts w:ascii="Times New Roman" w:hAnsi="Times New Roman" w:cs="Times New Roman"/>
                <w:bCs/>
              </w:rPr>
            </w:pPr>
          </w:p>
        </w:tc>
        <w:tc>
          <w:tcPr>
            <w:tcW w:w="1337" w:type="dxa"/>
            <w:vAlign w:val="center"/>
          </w:tcPr>
          <w:p w:rsidR="00FE16B2" w:rsidRPr="00FE16B2" w:rsidRDefault="00FE16B2" w:rsidP="00FE16B2">
            <w:pPr>
              <w:tabs>
                <w:tab w:val="decimal" w:pos="1121"/>
              </w:tabs>
              <w:spacing w:after="200" w:line="276" w:lineRule="auto"/>
              <w:jc w:val="right"/>
              <w:rPr>
                <w:rFonts w:ascii="Times New Roman" w:hAnsi="Times New Roman" w:cs="Times New Roman"/>
                <w:bCs/>
              </w:rPr>
            </w:pPr>
            <w:r w:rsidRPr="00FE16B2">
              <w:rPr>
                <w:rFonts w:ascii="Times New Roman" w:hAnsi="Times New Roman" w:cs="Times New Roman"/>
                <w:bCs/>
              </w:rPr>
              <w:t>1,492,279</w:t>
            </w:r>
          </w:p>
        </w:tc>
      </w:tr>
      <w:tr w:rsidR="00FE16B2" w:rsidRPr="00FE16B2" w:rsidTr="005D74BA">
        <w:trPr>
          <w:cantSplit/>
          <w:trHeight w:hRule="exact" w:val="737"/>
        </w:trPr>
        <w:tc>
          <w:tcPr>
            <w:tcW w:w="5353" w:type="dxa"/>
            <w:vAlign w:val="center"/>
          </w:tcPr>
          <w:p w:rsidR="00FE16B2" w:rsidRPr="00FE16B2" w:rsidRDefault="00FE16B2" w:rsidP="00FE16B2">
            <w:pPr>
              <w:spacing w:before="180"/>
              <w:rPr>
                <w:rFonts w:ascii="Times New Roman" w:hAnsi="Times New Roman" w:cs="Times New Roman"/>
                <w:b/>
                <w:bCs/>
              </w:rPr>
            </w:pPr>
            <w:r w:rsidRPr="00FE16B2">
              <w:rPr>
                <w:rFonts w:ascii="Times New Roman" w:hAnsi="Times New Roman" w:cs="Times New Roman"/>
                <w:b/>
                <w:bCs/>
              </w:rPr>
              <w:t>Financial assets at fair value through the profit and loss statement</w:t>
            </w:r>
          </w:p>
        </w:tc>
        <w:tc>
          <w:tcPr>
            <w:tcW w:w="1417" w:type="dxa"/>
          </w:tcPr>
          <w:p w:rsidR="00FE16B2" w:rsidRPr="00FE16B2" w:rsidRDefault="00FE16B2" w:rsidP="00FE16B2">
            <w:pPr>
              <w:spacing w:before="180"/>
              <w:rPr>
                <w:rFonts w:ascii="Times New Roman" w:hAnsi="Times New Roman" w:cs="Times New Roman"/>
                <w:b/>
                <w:bCs/>
              </w:rPr>
            </w:pPr>
          </w:p>
        </w:tc>
        <w:tc>
          <w:tcPr>
            <w:tcW w:w="284" w:type="dxa"/>
          </w:tcPr>
          <w:p w:rsidR="00FE16B2" w:rsidRPr="00FE16B2" w:rsidRDefault="00FE16B2" w:rsidP="00FE16B2">
            <w:pPr>
              <w:spacing w:before="180"/>
              <w:rPr>
                <w:rFonts w:ascii="Times New Roman" w:hAnsi="Times New Roman" w:cs="Times New Roman"/>
                <w:b/>
                <w:bCs/>
              </w:rPr>
            </w:pPr>
          </w:p>
        </w:tc>
        <w:tc>
          <w:tcPr>
            <w:tcW w:w="1337" w:type="dxa"/>
            <w:vAlign w:val="center"/>
          </w:tcPr>
          <w:p w:rsidR="00FE16B2" w:rsidRPr="00FE16B2" w:rsidRDefault="00FE16B2" w:rsidP="00FE16B2">
            <w:pPr>
              <w:spacing w:before="180"/>
              <w:rPr>
                <w:rFonts w:ascii="Times New Roman" w:hAnsi="Times New Roman" w:cs="Times New Roman"/>
                <w:b/>
                <w:bCs/>
              </w:rPr>
            </w:pPr>
          </w:p>
        </w:tc>
      </w:tr>
      <w:tr w:rsidR="00FE16B2" w:rsidRPr="00FE16B2" w:rsidTr="00FE16B2">
        <w:trPr>
          <w:cantSplit/>
          <w:trHeight w:hRule="exact" w:val="284"/>
        </w:trPr>
        <w:tc>
          <w:tcPr>
            <w:tcW w:w="5353" w:type="dxa"/>
            <w:vAlign w:val="center"/>
          </w:tcPr>
          <w:p w:rsidR="00FE16B2" w:rsidRPr="00FE16B2" w:rsidRDefault="00FE16B2" w:rsidP="00FE16B2">
            <w:pPr>
              <w:rPr>
                <w:rFonts w:ascii="Times New Roman" w:hAnsi="Times New Roman" w:cs="Times New Roman"/>
                <w:bCs/>
              </w:rPr>
            </w:pPr>
            <w:r w:rsidRPr="00FE16B2">
              <w:rPr>
                <w:rFonts w:ascii="Times New Roman" w:hAnsi="Times New Roman" w:cs="Times New Roman"/>
                <w:bCs/>
              </w:rPr>
              <w:t>Investments</w:t>
            </w:r>
          </w:p>
        </w:tc>
        <w:tc>
          <w:tcPr>
            <w:tcW w:w="1417" w:type="dxa"/>
          </w:tcPr>
          <w:p w:rsidR="00FE16B2" w:rsidRPr="00FE16B2" w:rsidRDefault="00FE16B2" w:rsidP="00FE16B2">
            <w:pPr>
              <w:jc w:val="right"/>
              <w:rPr>
                <w:rFonts w:ascii="Times New Roman" w:hAnsi="Times New Roman" w:cs="Times New Roman"/>
                <w:b/>
                <w:bCs/>
              </w:rPr>
            </w:pPr>
            <w:r w:rsidRPr="00FE16B2">
              <w:rPr>
                <w:rFonts w:ascii="Times New Roman" w:hAnsi="Times New Roman" w:cs="Times New Roman"/>
                <w:b/>
                <w:bCs/>
              </w:rPr>
              <w:t>76,692,362</w:t>
            </w:r>
          </w:p>
        </w:tc>
        <w:tc>
          <w:tcPr>
            <w:tcW w:w="284" w:type="dxa"/>
          </w:tcPr>
          <w:p w:rsidR="00FE16B2" w:rsidRPr="00FE16B2" w:rsidRDefault="00FE16B2" w:rsidP="00FE16B2">
            <w:pPr>
              <w:jc w:val="right"/>
              <w:rPr>
                <w:rFonts w:ascii="Times New Roman" w:hAnsi="Times New Roman" w:cs="Times New Roman"/>
                <w:bCs/>
              </w:rPr>
            </w:pPr>
          </w:p>
        </w:tc>
        <w:tc>
          <w:tcPr>
            <w:tcW w:w="1337" w:type="dxa"/>
            <w:vAlign w:val="center"/>
          </w:tcPr>
          <w:p w:rsidR="00FE16B2" w:rsidRPr="00FE16B2" w:rsidRDefault="00FE16B2" w:rsidP="00FE16B2">
            <w:pPr>
              <w:tabs>
                <w:tab w:val="decimal" w:pos="1121"/>
              </w:tabs>
              <w:jc w:val="right"/>
              <w:rPr>
                <w:rFonts w:ascii="Times New Roman" w:hAnsi="Times New Roman" w:cs="Times New Roman"/>
                <w:bCs/>
              </w:rPr>
            </w:pPr>
            <w:r w:rsidRPr="00FE16B2">
              <w:rPr>
                <w:rFonts w:ascii="Times New Roman" w:hAnsi="Times New Roman" w:cs="Times New Roman"/>
                <w:bCs/>
              </w:rPr>
              <w:t>113,124,805</w:t>
            </w:r>
          </w:p>
        </w:tc>
      </w:tr>
      <w:tr w:rsidR="00FE16B2" w:rsidRPr="00FE16B2" w:rsidTr="00FE16B2">
        <w:trPr>
          <w:cantSplit/>
          <w:trHeight w:hRule="exact" w:val="284"/>
        </w:trPr>
        <w:tc>
          <w:tcPr>
            <w:tcW w:w="5353" w:type="dxa"/>
            <w:vAlign w:val="center"/>
          </w:tcPr>
          <w:p w:rsidR="00FE16B2" w:rsidRPr="00FE16B2" w:rsidRDefault="00FE16B2" w:rsidP="00FE16B2">
            <w:pPr>
              <w:spacing w:after="200" w:line="276" w:lineRule="auto"/>
              <w:rPr>
                <w:rFonts w:ascii="Times New Roman" w:hAnsi="Times New Roman" w:cs="Times New Roman"/>
                <w:bCs/>
              </w:rPr>
            </w:pPr>
            <w:r w:rsidRPr="00FE16B2">
              <w:rPr>
                <w:rFonts w:ascii="Times New Roman" w:hAnsi="Times New Roman" w:cs="Times New Roman"/>
                <w:bCs/>
              </w:rPr>
              <w:t>Commodities</w:t>
            </w:r>
          </w:p>
        </w:tc>
        <w:tc>
          <w:tcPr>
            <w:tcW w:w="1417" w:type="dxa"/>
          </w:tcPr>
          <w:p w:rsidR="00FE16B2" w:rsidRPr="00FE16B2" w:rsidRDefault="00FE16B2" w:rsidP="00FE16B2">
            <w:pPr>
              <w:spacing w:after="120" w:line="322" w:lineRule="auto"/>
              <w:jc w:val="right"/>
              <w:rPr>
                <w:rFonts w:ascii="Times New Roman" w:hAnsi="Times New Roman" w:cs="Times New Roman"/>
                <w:b/>
                <w:bCs/>
              </w:rPr>
            </w:pPr>
            <w:r w:rsidRPr="00FE16B2">
              <w:rPr>
                <w:rFonts w:ascii="Times New Roman" w:hAnsi="Times New Roman" w:cs="Times New Roman"/>
                <w:b/>
                <w:bCs/>
              </w:rPr>
              <w:t>567,464</w:t>
            </w:r>
          </w:p>
        </w:tc>
        <w:tc>
          <w:tcPr>
            <w:tcW w:w="284" w:type="dxa"/>
          </w:tcPr>
          <w:p w:rsidR="00FE16B2" w:rsidRPr="00FE16B2" w:rsidRDefault="00FE16B2" w:rsidP="00FE16B2">
            <w:pPr>
              <w:spacing w:after="120" w:line="322" w:lineRule="auto"/>
              <w:jc w:val="right"/>
              <w:rPr>
                <w:rFonts w:ascii="Times New Roman" w:hAnsi="Times New Roman" w:cs="Times New Roman"/>
                <w:bCs/>
              </w:rPr>
            </w:pPr>
          </w:p>
        </w:tc>
        <w:tc>
          <w:tcPr>
            <w:tcW w:w="1337" w:type="dxa"/>
            <w:vAlign w:val="center"/>
          </w:tcPr>
          <w:p w:rsidR="00FE16B2" w:rsidRPr="00FE16B2" w:rsidRDefault="00FE16B2" w:rsidP="00FE16B2">
            <w:pPr>
              <w:tabs>
                <w:tab w:val="decimal" w:pos="1121"/>
              </w:tabs>
              <w:spacing w:after="200" w:line="276" w:lineRule="auto"/>
              <w:jc w:val="right"/>
              <w:rPr>
                <w:rFonts w:ascii="Times New Roman" w:hAnsi="Times New Roman" w:cs="Times New Roman"/>
                <w:bCs/>
              </w:rPr>
            </w:pPr>
            <w:r w:rsidRPr="00FE16B2">
              <w:rPr>
                <w:rFonts w:ascii="Times New Roman" w:hAnsi="Times New Roman" w:cs="Times New Roman"/>
                <w:bCs/>
              </w:rPr>
              <w:t>3,248,078</w:t>
            </w:r>
          </w:p>
        </w:tc>
      </w:tr>
      <w:tr w:rsidR="00FE16B2" w:rsidRPr="00FE16B2" w:rsidTr="00FE16B2">
        <w:trPr>
          <w:cantSplit/>
          <w:trHeight w:hRule="exact" w:val="284"/>
        </w:trPr>
        <w:tc>
          <w:tcPr>
            <w:tcW w:w="5353" w:type="dxa"/>
            <w:vAlign w:val="center"/>
          </w:tcPr>
          <w:p w:rsidR="00FE16B2" w:rsidRPr="00FE16B2" w:rsidRDefault="00FE16B2" w:rsidP="00FE16B2">
            <w:pPr>
              <w:spacing w:after="200" w:line="276" w:lineRule="auto"/>
              <w:rPr>
                <w:rFonts w:ascii="Times New Roman" w:hAnsi="Times New Roman" w:cs="Times New Roman"/>
                <w:bCs/>
              </w:rPr>
            </w:pPr>
            <w:r w:rsidRPr="00FE16B2">
              <w:rPr>
                <w:rFonts w:ascii="Times New Roman" w:hAnsi="Times New Roman" w:cs="Times New Roman"/>
                <w:bCs/>
              </w:rPr>
              <w:t>Derivatives</w:t>
            </w:r>
          </w:p>
        </w:tc>
        <w:tc>
          <w:tcPr>
            <w:tcW w:w="1417" w:type="dxa"/>
          </w:tcPr>
          <w:p w:rsidR="00FE16B2" w:rsidRPr="00FE16B2" w:rsidRDefault="00FE16B2" w:rsidP="00FE16B2">
            <w:pPr>
              <w:spacing w:after="120" w:line="322" w:lineRule="auto"/>
              <w:jc w:val="right"/>
              <w:rPr>
                <w:rFonts w:ascii="Times New Roman" w:hAnsi="Times New Roman" w:cs="Times New Roman"/>
                <w:b/>
                <w:bCs/>
              </w:rPr>
            </w:pPr>
            <w:r w:rsidRPr="00FE16B2">
              <w:rPr>
                <w:rFonts w:ascii="Times New Roman" w:hAnsi="Times New Roman" w:cs="Times New Roman"/>
                <w:b/>
                <w:bCs/>
              </w:rPr>
              <w:t>335,402</w:t>
            </w:r>
          </w:p>
        </w:tc>
        <w:tc>
          <w:tcPr>
            <w:tcW w:w="284" w:type="dxa"/>
          </w:tcPr>
          <w:p w:rsidR="00FE16B2" w:rsidRPr="00FE16B2" w:rsidRDefault="00FE16B2" w:rsidP="00FE16B2">
            <w:pPr>
              <w:spacing w:after="120" w:line="322" w:lineRule="auto"/>
              <w:jc w:val="right"/>
              <w:rPr>
                <w:rFonts w:ascii="Times New Roman" w:hAnsi="Times New Roman" w:cs="Times New Roman"/>
                <w:bCs/>
              </w:rPr>
            </w:pPr>
          </w:p>
        </w:tc>
        <w:tc>
          <w:tcPr>
            <w:tcW w:w="1337" w:type="dxa"/>
            <w:vAlign w:val="center"/>
          </w:tcPr>
          <w:p w:rsidR="00FE16B2" w:rsidRPr="00FE16B2" w:rsidRDefault="00FE16B2" w:rsidP="00FE16B2">
            <w:pPr>
              <w:tabs>
                <w:tab w:val="decimal" w:pos="1121"/>
              </w:tabs>
              <w:spacing w:after="200" w:line="276" w:lineRule="auto"/>
              <w:jc w:val="right"/>
              <w:rPr>
                <w:rFonts w:ascii="Times New Roman" w:hAnsi="Times New Roman" w:cs="Times New Roman"/>
                <w:bCs/>
              </w:rPr>
            </w:pPr>
            <w:r w:rsidRPr="00FE16B2">
              <w:rPr>
                <w:rFonts w:ascii="Times New Roman" w:hAnsi="Times New Roman" w:cs="Times New Roman"/>
                <w:bCs/>
              </w:rPr>
              <w:t>-</w:t>
            </w:r>
          </w:p>
        </w:tc>
      </w:tr>
      <w:tr w:rsidR="00FE16B2" w:rsidRPr="00FE16B2" w:rsidTr="00FE16B2">
        <w:trPr>
          <w:cantSplit/>
          <w:trHeight w:hRule="exact" w:val="502"/>
        </w:trPr>
        <w:tc>
          <w:tcPr>
            <w:tcW w:w="5353" w:type="dxa"/>
            <w:vAlign w:val="bottom"/>
          </w:tcPr>
          <w:p w:rsidR="00FE16B2" w:rsidRPr="00FE16B2" w:rsidRDefault="00FE16B2" w:rsidP="00FE16B2">
            <w:pPr>
              <w:rPr>
                <w:rFonts w:ascii="Times New Roman" w:hAnsi="Times New Roman" w:cs="Times New Roman"/>
                <w:bCs/>
              </w:rPr>
            </w:pPr>
            <w:r w:rsidRPr="00FE16B2">
              <w:rPr>
                <w:rFonts w:ascii="Times New Roman" w:hAnsi="Times New Roman" w:cs="Times New Roman"/>
                <w:bCs/>
              </w:rPr>
              <w:t>Cash and bank balances</w:t>
            </w:r>
          </w:p>
        </w:tc>
        <w:tc>
          <w:tcPr>
            <w:tcW w:w="1417" w:type="dxa"/>
            <w:tcBorders>
              <w:bottom w:val="single" w:sz="4" w:space="0" w:color="000000" w:themeColor="text1"/>
            </w:tcBorders>
            <w:vAlign w:val="bottom"/>
          </w:tcPr>
          <w:p w:rsidR="00FE16B2" w:rsidRPr="00FE16B2" w:rsidRDefault="00FE16B2" w:rsidP="00FE16B2">
            <w:pPr>
              <w:jc w:val="right"/>
              <w:rPr>
                <w:rFonts w:ascii="Times New Roman" w:hAnsi="Times New Roman" w:cs="Times New Roman"/>
                <w:b/>
                <w:bCs/>
              </w:rPr>
            </w:pPr>
            <w:r w:rsidRPr="00FE16B2">
              <w:rPr>
                <w:rFonts w:ascii="Times New Roman" w:hAnsi="Times New Roman" w:cs="Times New Roman"/>
                <w:b/>
                <w:bCs/>
              </w:rPr>
              <w:t>1,494,213</w:t>
            </w:r>
          </w:p>
        </w:tc>
        <w:tc>
          <w:tcPr>
            <w:tcW w:w="284" w:type="dxa"/>
            <w:vAlign w:val="bottom"/>
          </w:tcPr>
          <w:p w:rsidR="00FE16B2" w:rsidRPr="00FE16B2" w:rsidRDefault="00FE16B2" w:rsidP="00FE16B2">
            <w:pPr>
              <w:jc w:val="right"/>
              <w:rPr>
                <w:rFonts w:ascii="Times New Roman" w:hAnsi="Times New Roman" w:cs="Times New Roman"/>
                <w:bCs/>
              </w:rPr>
            </w:pPr>
          </w:p>
        </w:tc>
        <w:tc>
          <w:tcPr>
            <w:tcW w:w="1337" w:type="dxa"/>
            <w:tcBorders>
              <w:bottom w:val="single" w:sz="4" w:space="0" w:color="000000" w:themeColor="text1"/>
            </w:tcBorders>
            <w:vAlign w:val="bottom"/>
          </w:tcPr>
          <w:p w:rsidR="00FE16B2" w:rsidRPr="00FE16B2" w:rsidRDefault="00FE16B2" w:rsidP="00FE16B2">
            <w:pPr>
              <w:tabs>
                <w:tab w:val="decimal" w:pos="1121"/>
              </w:tabs>
              <w:jc w:val="right"/>
              <w:rPr>
                <w:rFonts w:ascii="Times New Roman" w:hAnsi="Times New Roman" w:cs="Times New Roman"/>
                <w:bCs/>
              </w:rPr>
            </w:pPr>
            <w:r w:rsidRPr="00FE16B2">
              <w:rPr>
                <w:rFonts w:ascii="Times New Roman" w:hAnsi="Times New Roman" w:cs="Times New Roman"/>
                <w:bCs/>
              </w:rPr>
              <w:t>536,463</w:t>
            </w:r>
          </w:p>
        </w:tc>
      </w:tr>
      <w:tr w:rsidR="00FE16B2" w:rsidRPr="00FE16B2" w:rsidTr="00FE16B2">
        <w:trPr>
          <w:cantSplit/>
          <w:trHeight w:hRule="exact" w:val="284"/>
        </w:trPr>
        <w:tc>
          <w:tcPr>
            <w:tcW w:w="5353" w:type="dxa"/>
          </w:tcPr>
          <w:p w:rsidR="00FE16B2" w:rsidRPr="00FE16B2" w:rsidRDefault="00FE16B2" w:rsidP="00FE16B2">
            <w:pPr>
              <w:rPr>
                <w:rFonts w:ascii="Times New Roman" w:hAnsi="Times New Roman" w:cs="Times New Roman"/>
                <w:bCs/>
              </w:rPr>
            </w:pPr>
          </w:p>
        </w:tc>
        <w:tc>
          <w:tcPr>
            <w:tcW w:w="1417" w:type="dxa"/>
            <w:tcBorders>
              <w:top w:val="single" w:sz="4" w:space="0" w:color="000000" w:themeColor="text1"/>
            </w:tcBorders>
            <w:vAlign w:val="center"/>
          </w:tcPr>
          <w:p w:rsidR="00FE16B2" w:rsidRPr="00FE16B2" w:rsidRDefault="00FE16B2" w:rsidP="00FE16B2">
            <w:pPr>
              <w:spacing w:after="120" w:line="322" w:lineRule="auto"/>
              <w:jc w:val="right"/>
              <w:rPr>
                <w:rFonts w:ascii="Times New Roman" w:hAnsi="Times New Roman" w:cs="Times New Roman"/>
                <w:b/>
                <w:bCs/>
              </w:rPr>
            </w:pPr>
            <w:r w:rsidRPr="00FE16B2">
              <w:rPr>
                <w:rFonts w:ascii="Times New Roman" w:hAnsi="Times New Roman" w:cs="Times New Roman"/>
                <w:b/>
                <w:bCs/>
              </w:rPr>
              <w:t>80,025,788</w:t>
            </w:r>
          </w:p>
        </w:tc>
        <w:tc>
          <w:tcPr>
            <w:tcW w:w="284" w:type="dxa"/>
            <w:vAlign w:val="center"/>
          </w:tcPr>
          <w:p w:rsidR="00FE16B2" w:rsidRPr="00FE16B2" w:rsidRDefault="00FE16B2" w:rsidP="00FE16B2">
            <w:pPr>
              <w:spacing w:after="120" w:line="322" w:lineRule="auto"/>
              <w:jc w:val="right"/>
              <w:rPr>
                <w:rFonts w:ascii="Times New Roman" w:hAnsi="Times New Roman" w:cs="Times New Roman"/>
                <w:bCs/>
              </w:rPr>
            </w:pPr>
          </w:p>
        </w:tc>
        <w:tc>
          <w:tcPr>
            <w:tcW w:w="1337" w:type="dxa"/>
            <w:tcBorders>
              <w:top w:val="single" w:sz="4" w:space="0" w:color="000000" w:themeColor="text1"/>
            </w:tcBorders>
            <w:vAlign w:val="center"/>
          </w:tcPr>
          <w:p w:rsidR="00FE16B2" w:rsidRPr="00FE16B2" w:rsidRDefault="00FE16B2" w:rsidP="00FE16B2">
            <w:pPr>
              <w:tabs>
                <w:tab w:val="decimal" w:pos="1121"/>
              </w:tabs>
              <w:spacing w:after="200" w:line="276" w:lineRule="auto"/>
              <w:jc w:val="right"/>
              <w:rPr>
                <w:rFonts w:ascii="Times New Roman" w:hAnsi="Times New Roman" w:cs="Times New Roman"/>
                <w:bCs/>
              </w:rPr>
            </w:pPr>
            <w:r w:rsidRPr="00FE16B2">
              <w:rPr>
                <w:rFonts w:ascii="Times New Roman" w:hAnsi="Times New Roman" w:cs="Times New Roman"/>
                <w:bCs/>
              </w:rPr>
              <w:t>118,401,625</w:t>
            </w:r>
          </w:p>
        </w:tc>
      </w:tr>
      <w:tr w:rsidR="00FE16B2" w:rsidRPr="00FE16B2" w:rsidTr="00FE16B2">
        <w:trPr>
          <w:cantSplit/>
          <w:trHeight w:hRule="exact" w:val="284"/>
        </w:trPr>
        <w:tc>
          <w:tcPr>
            <w:tcW w:w="5353" w:type="dxa"/>
            <w:vAlign w:val="bottom"/>
          </w:tcPr>
          <w:p w:rsidR="00FE16B2" w:rsidRPr="00FE16B2" w:rsidRDefault="00FE16B2" w:rsidP="00FE16B2">
            <w:pPr>
              <w:spacing w:after="200" w:line="276" w:lineRule="auto"/>
              <w:rPr>
                <w:rFonts w:ascii="Times New Roman" w:hAnsi="Times New Roman" w:cs="Times New Roman"/>
                <w:b/>
                <w:bCs/>
              </w:rPr>
            </w:pPr>
            <w:r w:rsidRPr="00FE16B2">
              <w:rPr>
                <w:rFonts w:ascii="Times New Roman" w:hAnsi="Times New Roman" w:cs="Times New Roman"/>
                <w:b/>
                <w:bCs/>
              </w:rPr>
              <w:t>Current liabilities</w:t>
            </w:r>
          </w:p>
        </w:tc>
        <w:tc>
          <w:tcPr>
            <w:tcW w:w="1417" w:type="dxa"/>
            <w:vAlign w:val="center"/>
          </w:tcPr>
          <w:p w:rsidR="00FE16B2" w:rsidRPr="00FE16B2" w:rsidRDefault="00FE16B2" w:rsidP="00FE16B2">
            <w:pPr>
              <w:spacing w:after="120" w:line="322" w:lineRule="auto"/>
              <w:jc w:val="right"/>
              <w:rPr>
                <w:rFonts w:ascii="Times New Roman" w:hAnsi="Times New Roman" w:cs="Times New Roman"/>
                <w:b/>
                <w:bCs/>
              </w:rPr>
            </w:pPr>
          </w:p>
        </w:tc>
        <w:tc>
          <w:tcPr>
            <w:tcW w:w="284" w:type="dxa"/>
            <w:vAlign w:val="center"/>
          </w:tcPr>
          <w:p w:rsidR="00FE16B2" w:rsidRPr="00FE16B2" w:rsidRDefault="00FE16B2" w:rsidP="00FE16B2">
            <w:pPr>
              <w:spacing w:after="120" w:line="322" w:lineRule="auto"/>
              <w:jc w:val="right"/>
              <w:rPr>
                <w:rFonts w:ascii="Times New Roman" w:hAnsi="Times New Roman" w:cs="Times New Roman"/>
                <w:bCs/>
              </w:rPr>
            </w:pPr>
          </w:p>
        </w:tc>
        <w:tc>
          <w:tcPr>
            <w:tcW w:w="1337" w:type="dxa"/>
            <w:vAlign w:val="center"/>
          </w:tcPr>
          <w:p w:rsidR="00FE16B2" w:rsidRPr="00FE16B2" w:rsidRDefault="00FE16B2" w:rsidP="00FE16B2">
            <w:pPr>
              <w:tabs>
                <w:tab w:val="decimal" w:pos="1121"/>
              </w:tabs>
              <w:spacing w:after="200" w:line="276" w:lineRule="auto"/>
              <w:jc w:val="right"/>
              <w:rPr>
                <w:rFonts w:ascii="Times New Roman" w:hAnsi="Times New Roman" w:cs="Times New Roman"/>
                <w:bCs/>
              </w:rPr>
            </w:pPr>
          </w:p>
        </w:tc>
      </w:tr>
      <w:tr w:rsidR="00FE16B2" w:rsidRPr="00FE16B2" w:rsidTr="00FE16B2">
        <w:trPr>
          <w:cantSplit/>
          <w:trHeight w:hRule="exact" w:val="284"/>
        </w:trPr>
        <w:tc>
          <w:tcPr>
            <w:tcW w:w="5353" w:type="dxa"/>
            <w:vAlign w:val="bottom"/>
          </w:tcPr>
          <w:p w:rsidR="00FE16B2" w:rsidRPr="00FE16B2" w:rsidRDefault="00FE16B2" w:rsidP="00FE16B2">
            <w:pPr>
              <w:spacing w:after="200" w:line="276" w:lineRule="auto"/>
              <w:rPr>
                <w:rFonts w:ascii="Times New Roman" w:hAnsi="Times New Roman" w:cs="Times New Roman"/>
                <w:b/>
                <w:bCs/>
              </w:rPr>
            </w:pPr>
            <w:r w:rsidRPr="00FE16B2">
              <w:rPr>
                <w:rFonts w:ascii="Times New Roman" w:hAnsi="Times New Roman" w:cs="Times New Roman"/>
                <w:b/>
                <w:bCs/>
              </w:rPr>
              <w:t>Financial liabilities</w:t>
            </w:r>
          </w:p>
        </w:tc>
        <w:tc>
          <w:tcPr>
            <w:tcW w:w="1417" w:type="dxa"/>
            <w:vAlign w:val="center"/>
          </w:tcPr>
          <w:p w:rsidR="00FE16B2" w:rsidRPr="00FE16B2" w:rsidRDefault="00FE16B2" w:rsidP="00FE16B2">
            <w:pPr>
              <w:spacing w:after="120" w:line="322" w:lineRule="auto"/>
              <w:jc w:val="right"/>
              <w:rPr>
                <w:rFonts w:ascii="Times New Roman" w:hAnsi="Times New Roman" w:cs="Times New Roman"/>
                <w:b/>
                <w:bCs/>
              </w:rPr>
            </w:pPr>
          </w:p>
        </w:tc>
        <w:tc>
          <w:tcPr>
            <w:tcW w:w="284" w:type="dxa"/>
            <w:vAlign w:val="center"/>
          </w:tcPr>
          <w:p w:rsidR="00FE16B2" w:rsidRPr="00FE16B2" w:rsidRDefault="00FE16B2" w:rsidP="00FE16B2">
            <w:pPr>
              <w:spacing w:after="120" w:line="322" w:lineRule="auto"/>
              <w:jc w:val="right"/>
              <w:rPr>
                <w:rFonts w:ascii="Times New Roman" w:hAnsi="Times New Roman" w:cs="Times New Roman"/>
                <w:bCs/>
              </w:rPr>
            </w:pPr>
          </w:p>
        </w:tc>
        <w:tc>
          <w:tcPr>
            <w:tcW w:w="1337" w:type="dxa"/>
            <w:vAlign w:val="center"/>
          </w:tcPr>
          <w:p w:rsidR="00FE16B2" w:rsidRPr="00FE16B2" w:rsidRDefault="00FE16B2" w:rsidP="00FE16B2">
            <w:pPr>
              <w:tabs>
                <w:tab w:val="decimal" w:pos="1121"/>
              </w:tabs>
              <w:spacing w:after="200" w:line="276" w:lineRule="auto"/>
              <w:jc w:val="right"/>
              <w:rPr>
                <w:rFonts w:ascii="Times New Roman" w:hAnsi="Times New Roman" w:cs="Times New Roman"/>
                <w:bCs/>
              </w:rPr>
            </w:pPr>
          </w:p>
        </w:tc>
      </w:tr>
      <w:tr w:rsidR="00FE16B2" w:rsidRPr="00FE16B2" w:rsidTr="00FE16B2">
        <w:trPr>
          <w:cantSplit/>
          <w:trHeight w:hRule="exact" w:val="284"/>
        </w:trPr>
        <w:tc>
          <w:tcPr>
            <w:tcW w:w="5353" w:type="dxa"/>
            <w:vAlign w:val="center"/>
          </w:tcPr>
          <w:p w:rsidR="00FE16B2" w:rsidRPr="00FE16B2" w:rsidRDefault="00FE16B2" w:rsidP="00FE16B2">
            <w:pPr>
              <w:spacing w:after="200" w:line="276" w:lineRule="auto"/>
              <w:rPr>
                <w:rFonts w:ascii="Times New Roman" w:hAnsi="Times New Roman" w:cs="Times New Roman"/>
                <w:bCs/>
              </w:rPr>
            </w:pPr>
            <w:r w:rsidRPr="00FE16B2">
              <w:rPr>
                <w:rFonts w:ascii="Times New Roman" w:hAnsi="Times New Roman" w:cs="Times New Roman"/>
                <w:bCs/>
              </w:rPr>
              <w:t>Borrowings</w:t>
            </w:r>
          </w:p>
        </w:tc>
        <w:tc>
          <w:tcPr>
            <w:tcW w:w="1417" w:type="dxa"/>
          </w:tcPr>
          <w:p w:rsidR="00FE16B2" w:rsidRPr="00FE16B2" w:rsidRDefault="00FE16B2" w:rsidP="00FE16B2">
            <w:pPr>
              <w:spacing w:after="120" w:line="322" w:lineRule="auto"/>
              <w:jc w:val="right"/>
              <w:rPr>
                <w:rFonts w:ascii="Times New Roman" w:hAnsi="Times New Roman" w:cs="Times New Roman"/>
                <w:b/>
                <w:bCs/>
              </w:rPr>
            </w:pPr>
            <w:r w:rsidRPr="00FE16B2">
              <w:rPr>
                <w:rFonts w:ascii="Times New Roman" w:hAnsi="Times New Roman" w:cs="Times New Roman"/>
                <w:b/>
                <w:bCs/>
              </w:rPr>
              <w:t>7,849,712</w:t>
            </w:r>
          </w:p>
        </w:tc>
        <w:tc>
          <w:tcPr>
            <w:tcW w:w="284" w:type="dxa"/>
          </w:tcPr>
          <w:p w:rsidR="00FE16B2" w:rsidRPr="00FE16B2" w:rsidRDefault="00FE16B2" w:rsidP="00FE16B2">
            <w:pPr>
              <w:spacing w:after="120" w:line="322" w:lineRule="auto"/>
              <w:jc w:val="right"/>
              <w:rPr>
                <w:rFonts w:ascii="Times New Roman" w:hAnsi="Times New Roman" w:cs="Times New Roman"/>
                <w:bCs/>
              </w:rPr>
            </w:pPr>
          </w:p>
        </w:tc>
        <w:tc>
          <w:tcPr>
            <w:tcW w:w="1337" w:type="dxa"/>
            <w:vAlign w:val="bottom"/>
          </w:tcPr>
          <w:p w:rsidR="00FE16B2" w:rsidRPr="00FE16B2" w:rsidRDefault="00FE16B2" w:rsidP="00FE16B2">
            <w:pPr>
              <w:tabs>
                <w:tab w:val="decimal" w:pos="1121"/>
              </w:tabs>
              <w:spacing w:after="200" w:line="276" w:lineRule="auto"/>
              <w:jc w:val="right"/>
              <w:rPr>
                <w:rFonts w:ascii="Times New Roman" w:hAnsi="Times New Roman" w:cs="Times New Roman"/>
                <w:bCs/>
              </w:rPr>
            </w:pPr>
            <w:r w:rsidRPr="00FE16B2">
              <w:rPr>
                <w:rFonts w:ascii="Times New Roman" w:hAnsi="Times New Roman" w:cs="Times New Roman"/>
                <w:bCs/>
              </w:rPr>
              <w:t>12,908,051</w:t>
            </w:r>
          </w:p>
        </w:tc>
      </w:tr>
      <w:tr w:rsidR="00FE16B2" w:rsidRPr="00FE16B2" w:rsidTr="00FE16B2">
        <w:trPr>
          <w:cantSplit/>
          <w:trHeight w:hRule="exact" w:val="284"/>
        </w:trPr>
        <w:tc>
          <w:tcPr>
            <w:tcW w:w="5353" w:type="dxa"/>
            <w:vAlign w:val="center"/>
          </w:tcPr>
          <w:p w:rsidR="00FE16B2" w:rsidRPr="00FE16B2" w:rsidRDefault="00FE16B2" w:rsidP="00FE16B2">
            <w:pPr>
              <w:spacing w:after="200" w:line="276" w:lineRule="auto"/>
              <w:rPr>
                <w:rFonts w:ascii="Times New Roman" w:hAnsi="Times New Roman" w:cs="Times New Roman"/>
                <w:bCs/>
              </w:rPr>
            </w:pPr>
            <w:r w:rsidRPr="00FE16B2">
              <w:rPr>
                <w:rFonts w:ascii="Times New Roman" w:hAnsi="Times New Roman" w:cs="Times New Roman"/>
                <w:bCs/>
              </w:rPr>
              <w:t>Financial liabilities at fair value</w:t>
            </w:r>
          </w:p>
        </w:tc>
        <w:tc>
          <w:tcPr>
            <w:tcW w:w="1417" w:type="dxa"/>
          </w:tcPr>
          <w:p w:rsidR="00FE16B2" w:rsidRPr="00FE16B2" w:rsidRDefault="00FE16B2" w:rsidP="00FE16B2">
            <w:pPr>
              <w:spacing w:after="120" w:line="322" w:lineRule="auto"/>
              <w:jc w:val="right"/>
              <w:rPr>
                <w:rFonts w:ascii="Times New Roman" w:hAnsi="Times New Roman" w:cs="Times New Roman"/>
                <w:b/>
                <w:bCs/>
              </w:rPr>
            </w:pPr>
            <w:r w:rsidRPr="00FE16B2">
              <w:rPr>
                <w:rFonts w:ascii="Times New Roman" w:hAnsi="Times New Roman" w:cs="Times New Roman"/>
                <w:b/>
                <w:bCs/>
              </w:rPr>
              <w:t>726,835</w:t>
            </w:r>
          </w:p>
        </w:tc>
        <w:tc>
          <w:tcPr>
            <w:tcW w:w="284" w:type="dxa"/>
          </w:tcPr>
          <w:p w:rsidR="00FE16B2" w:rsidRPr="00FE16B2" w:rsidRDefault="00FE16B2" w:rsidP="00FE16B2">
            <w:pPr>
              <w:spacing w:after="120" w:line="322" w:lineRule="auto"/>
              <w:jc w:val="right"/>
              <w:rPr>
                <w:rFonts w:ascii="Times New Roman" w:hAnsi="Times New Roman" w:cs="Times New Roman"/>
                <w:bCs/>
              </w:rPr>
            </w:pPr>
          </w:p>
        </w:tc>
        <w:tc>
          <w:tcPr>
            <w:tcW w:w="1337" w:type="dxa"/>
            <w:vAlign w:val="bottom"/>
          </w:tcPr>
          <w:p w:rsidR="00FE16B2" w:rsidRPr="00FE16B2" w:rsidRDefault="00FE16B2" w:rsidP="00FE16B2">
            <w:pPr>
              <w:tabs>
                <w:tab w:val="decimal" w:pos="1121"/>
              </w:tabs>
              <w:spacing w:after="200" w:line="276" w:lineRule="auto"/>
              <w:jc w:val="right"/>
              <w:rPr>
                <w:rFonts w:ascii="Times New Roman" w:hAnsi="Times New Roman" w:cs="Times New Roman"/>
                <w:bCs/>
              </w:rPr>
            </w:pPr>
            <w:r w:rsidRPr="00FE16B2">
              <w:rPr>
                <w:rFonts w:ascii="Times New Roman" w:hAnsi="Times New Roman" w:cs="Times New Roman"/>
                <w:bCs/>
              </w:rPr>
              <w:t>1,337,123</w:t>
            </w:r>
          </w:p>
        </w:tc>
      </w:tr>
      <w:tr w:rsidR="00FE16B2" w:rsidRPr="00FE16B2" w:rsidTr="00FE16B2">
        <w:trPr>
          <w:cantSplit/>
          <w:trHeight w:hRule="exact" w:val="284"/>
        </w:trPr>
        <w:tc>
          <w:tcPr>
            <w:tcW w:w="5353" w:type="dxa"/>
            <w:vAlign w:val="center"/>
          </w:tcPr>
          <w:p w:rsidR="00FE16B2" w:rsidRPr="00FE16B2" w:rsidRDefault="00FE16B2" w:rsidP="00FE16B2">
            <w:pPr>
              <w:spacing w:after="200" w:line="276" w:lineRule="auto"/>
              <w:rPr>
                <w:rFonts w:ascii="Times New Roman" w:hAnsi="Times New Roman" w:cs="Times New Roman"/>
                <w:bCs/>
              </w:rPr>
            </w:pPr>
            <w:r w:rsidRPr="00FE16B2">
              <w:rPr>
                <w:rFonts w:ascii="Times New Roman" w:hAnsi="Times New Roman" w:cs="Times New Roman"/>
                <w:bCs/>
              </w:rPr>
              <w:t>Trade and other payables</w:t>
            </w:r>
          </w:p>
        </w:tc>
        <w:tc>
          <w:tcPr>
            <w:tcW w:w="1417" w:type="dxa"/>
          </w:tcPr>
          <w:p w:rsidR="00FE16B2" w:rsidRPr="00FE16B2" w:rsidRDefault="00FE16B2" w:rsidP="00FE16B2">
            <w:pPr>
              <w:spacing w:after="120" w:line="322" w:lineRule="auto"/>
              <w:jc w:val="right"/>
              <w:rPr>
                <w:rFonts w:ascii="Times New Roman" w:hAnsi="Times New Roman" w:cs="Times New Roman"/>
                <w:b/>
                <w:bCs/>
              </w:rPr>
            </w:pPr>
            <w:r w:rsidRPr="00FE16B2">
              <w:rPr>
                <w:rFonts w:ascii="Times New Roman" w:hAnsi="Times New Roman" w:cs="Times New Roman"/>
                <w:b/>
                <w:bCs/>
              </w:rPr>
              <w:t>1,355,986</w:t>
            </w:r>
          </w:p>
        </w:tc>
        <w:tc>
          <w:tcPr>
            <w:tcW w:w="284" w:type="dxa"/>
          </w:tcPr>
          <w:p w:rsidR="00FE16B2" w:rsidRPr="00FE16B2" w:rsidRDefault="00FE16B2" w:rsidP="00FE16B2">
            <w:pPr>
              <w:spacing w:after="120" w:line="322" w:lineRule="auto"/>
              <w:jc w:val="right"/>
              <w:rPr>
                <w:rFonts w:ascii="Times New Roman" w:hAnsi="Times New Roman" w:cs="Times New Roman"/>
                <w:bCs/>
              </w:rPr>
            </w:pPr>
          </w:p>
        </w:tc>
        <w:tc>
          <w:tcPr>
            <w:tcW w:w="1337" w:type="dxa"/>
            <w:vAlign w:val="bottom"/>
          </w:tcPr>
          <w:p w:rsidR="00FE16B2" w:rsidRPr="00FE16B2" w:rsidRDefault="00FE16B2" w:rsidP="00FE16B2">
            <w:pPr>
              <w:tabs>
                <w:tab w:val="decimal" w:pos="1121"/>
              </w:tabs>
              <w:spacing w:after="200" w:line="276" w:lineRule="auto"/>
              <w:jc w:val="right"/>
              <w:rPr>
                <w:rFonts w:ascii="Times New Roman" w:hAnsi="Times New Roman" w:cs="Times New Roman"/>
                <w:bCs/>
              </w:rPr>
            </w:pPr>
            <w:r w:rsidRPr="00FE16B2">
              <w:rPr>
                <w:rFonts w:ascii="Times New Roman" w:hAnsi="Times New Roman" w:cs="Times New Roman"/>
                <w:bCs/>
              </w:rPr>
              <w:t>821,843</w:t>
            </w:r>
          </w:p>
        </w:tc>
      </w:tr>
      <w:tr w:rsidR="00FE16B2" w:rsidRPr="00FE16B2" w:rsidTr="00FE16B2">
        <w:trPr>
          <w:cantSplit/>
          <w:trHeight w:hRule="exact" w:val="284"/>
        </w:trPr>
        <w:tc>
          <w:tcPr>
            <w:tcW w:w="5353" w:type="dxa"/>
            <w:vAlign w:val="bottom"/>
          </w:tcPr>
          <w:p w:rsidR="00FE16B2" w:rsidRPr="00FE16B2" w:rsidRDefault="00FE16B2" w:rsidP="00FE16B2">
            <w:pPr>
              <w:spacing w:after="200" w:line="276" w:lineRule="auto"/>
              <w:rPr>
                <w:rFonts w:ascii="Times New Roman" w:hAnsi="Times New Roman" w:cs="Times New Roman"/>
                <w:bCs/>
              </w:rPr>
            </w:pPr>
            <w:r w:rsidRPr="00FE16B2">
              <w:rPr>
                <w:rFonts w:ascii="Times New Roman" w:hAnsi="Times New Roman" w:cs="Times New Roman"/>
                <w:bCs/>
              </w:rPr>
              <w:t>Current tax liabilities</w:t>
            </w:r>
          </w:p>
        </w:tc>
        <w:tc>
          <w:tcPr>
            <w:tcW w:w="1417" w:type="dxa"/>
            <w:tcBorders>
              <w:bottom w:val="single" w:sz="4" w:space="0" w:color="000000" w:themeColor="text1"/>
            </w:tcBorders>
            <w:vAlign w:val="center"/>
          </w:tcPr>
          <w:p w:rsidR="00FE16B2" w:rsidRPr="00FE16B2" w:rsidRDefault="00FE16B2" w:rsidP="00FE16B2">
            <w:pPr>
              <w:spacing w:after="120" w:line="322" w:lineRule="auto"/>
              <w:jc w:val="right"/>
              <w:rPr>
                <w:rFonts w:ascii="Times New Roman" w:hAnsi="Times New Roman" w:cs="Times New Roman"/>
                <w:b/>
                <w:bCs/>
              </w:rPr>
            </w:pPr>
            <w:r w:rsidRPr="00FE16B2">
              <w:rPr>
                <w:rFonts w:ascii="Times New Roman" w:hAnsi="Times New Roman" w:cs="Times New Roman"/>
                <w:b/>
                <w:bCs/>
              </w:rPr>
              <w:t>612,581</w:t>
            </w:r>
          </w:p>
        </w:tc>
        <w:tc>
          <w:tcPr>
            <w:tcW w:w="284" w:type="dxa"/>
            <w:vAlign w:val="center"/>
          </w:tcPr>
          <w:p w:rsidR="00FE16B2" w:rsidRPr="00FE16B2" w:rsidRDefault="00FE16B2" w:rsidP="00FE16B2">
            <w:pPr>
              <w:spacing w:after="120" w:line="322" w:lineRule="auto"/>
              <w:jc w:val="right"/>
              <w:rPr>
                <w:rFonts w:ascii="Times New Roman" w:hAnsi="Times New Roman" w:cs="Times New Roman"/>
                <w:bCs/>
              </w:rPr>
            </w:pPr>
          </w:p>
        </w:tc>
        <w:tc>
          <w:tcPr>
            <w:tcW w:w="1337" w:type="dxa"/>
            <w:tcBorders>
              <w:bottom w:val="single" w:sz="4" w:space="0" w:color="000000" w:themeColor="text1"/>
            </w:tcBorders>
            <w:vAlign w:val="bottom"/>
          </w:tcPr>
          <w:p w:rsidR="00FE16B2" w:rsidRPr="00FE16B2" w:rsidRDefault="00FE16B2" w:rsidP="00FE16B2">
            <w:pPr>
              <w:tabs>
                <w:tab w:val="decimal" w:pos="1121"/>
              </w:tabs>
              <w:spacing w:after="200" w:line="276" w:lineRule="auto"/>
              <w:jc w:val="right"/>
              <w:rPr>
                <w:rFonts w:ascii="Times New Roman" w:hAnsi="Times New Roman" w:cs="Times New Roman"/>
                <w:bCs/>
              </w:rPr>
            </w:pPr>
            <w:r w:rsidRPr="00FE16B2">
              <w:rPr>
                <w:rFonts w:ascii="Times New Roman" w:hAnsi="Times New Roman" w:cs="Times New Roman"/>
                <w:bCs/>
              </w:rPr>
              <w:t>849,967</w:t>
            </w:r>
          </w:p>
        </w:tc>
      </w:tr>
      <w:tr w:rsidR="00FE16B2" w:rsidRPr="00FE16B2" w:rsidTr="00FE16B2">
        <w:trPr>
          <w:cantSplit/>
          <w:trHeight w:hRule="exact" w:val="284"/>
        </w:trPr>
        <w:tc>
          <w:tcPr>
            <w:tcW w:w="5353" w:type="dxa"/>
            <w:vAlign w:val="center"/>
          </w:tcPr>
          <w:p w:rsidR="00FE16B2" w:rsidRPr="00FE16B2" w:rsidRDefault="00FE16B2" w:rsidP="00FE16B2">
            <w:pPr>
              <w:rPr>
                <w:rFonts w:ascii="Times New Roman" w:hAnsi="Times New Roman" w:cs="Times New Roman"/>
                <w:bCs/>
              </w:rPr>
            </w:pPr>
          </w:p>
        </w:tc>
        <w:tc>
          <w:tcPr>
            <w:tcW w:w="1417" w:type="dxa"/>
            <w:tcBorders>
              <w:top w:val="single" w:sz="4" w:space="0" w:color="000000" w:themeColor="text1"/>
              <w:bottom w:val="single" w:sz="4" w:space="0" w:color="000000" w:themeColor="text1"/>
            </w:tcBorders>
            <w:vAlign w:val="center"/>
          </w:tcPr>
          <w:p w:rsidR="00FE16B2" w:rsidRPr="00FE16B2" w:rsidRDefault="00FE16B2" w:rsidP="00FE16B2">
            <w:pPr>
              <w:spacing w:after="120" w:line="322" w:lineRule="auto"/>
              <w:jc w:val="right"/>
              <w:rPr>
                <w:rFonts w:ascii="Times New Roman" w:hAnsi="Times New Roman" w:cs="Times New Roman"/>
                <w:b/>
                <w:bCs/>
              </w:rPr>
            </w:pPr>
            <w:r w:rsidRPr="00FE16B2">
              <w:rPr>
                <w:rFonts w:ascii="Times New Roman" w:hAnsi="Times New Roman" w:cs="Times New Roman"/>
                <w:b/>
                <w:bCs/>
              </w:rPr>
              <w:t>10,545,114</w:t>
            </w:r>
          </w:p>
        </w:tc>
        <w:tc>
          <w:tcPr>
            <w:tcW w:w="284" w:type="dxa"/>
            <w:vAlign w:val="center"/>
          </w:tcPr>
          <w:p w:rsidR="00FE16B2" w:rsidRPr="00FE16B2" w:rsidRDefault="00FE16B2" w:rsidP="00FE16B2">
            <w:pPr>
              <w:spacing w:after="120" w:line="322" w:lineRule="auto"/>
              <w:jc w:val="right"/>
              <w:rPr>
                <w:rFonts w:ascii="Times New Roman" w:hAnsi="Times New Roman" w:cs="Times New Roman"/>
                <w:bCs/>
              </w:rPr>
            </w:pPr>
          </w:p>
        </w:tc>
        <w:tc>
          <w:tcPr>
            <w:tcW w:w="1337" w:type="dxa"/>
            <w:tcBorders>
              <w:top w:val="single" w:sz="4" w:space="0" w:color="000000" w:themeColor="text1"/>
              <w:bottom w:val="single" w:sz="4" w:space="0" w:color="000000" w:themeColor="text1"/>
            </w:tcBorders>
            <w:vAlign w:val="center"/>
          </w:tcPr>
          <w:p w:rsidR="00FE16B2" w:rsidRPr="00FE16B2" w:rsidRDefault="00FE16B2" w:rsidP="00FE16B2">
            <w:pPr>
              <w:tabs>
                <w:tab w:val="decimal" w:pos="1121"/>
              </w:tabs>
              <w:spacing w:after="200" w:line="276" w:lineRule="auto"/>
              <w:jc w:val="right"/>
              <w:rPr>
                <w:rFonts w:ascii="Times New Roman" w:hAnsi="Times New Roman" w:cs="Times New Roman"/>
                <w:bCs/>
              </w:rPr>
            </w:pPr>
            <w:r w:rsidRPr="00FE16B2">
              <w:rPr>
                <w:rFonts w:ascii="Times New Roman" w:hAnsi="Times New Roman" w:cs="Times New Roman"/>
                <w:bCs/>
              </w:rPr>
              <w:t>15,916,984</w:t>
            </w:r>
          </w:p>
        </w:tc>
      </w:tr>
      <w:tr w:rsidR="00FE16B2" w:rsidRPr="00FE16B2" w:rsidTr="00FE16B2">
        <w:trPr>
          <w:cantSplit/>
          <w:trHeight w:hRule="exact" w:val="284"/>
        </w:trPr>
        <w:tc>
          <w:tcPr>
            <w:tcW w:w="5353" w:type="dxa"/>
            <w:vAlign w:val="center"/>
          </w:tcPr>
          <w:p w:rsidR="00FE16B2" w:rsidRPr="00FE16B2" w:rsidRDefault="00FE16B2" w:rsidP="00FE16B2">
            <w:pPr>
              <w:spacing w:after="200" w:line="276" w:lineRule="auto"/>
              <w:rPr>
                <w:rFonts w:ascii="Times New Roman" w:hAnsi="Times New Roman" w:cs="Times New Roman"/>
                <w:b/>
                <w:bCs/>
              </w:rPr>
            </w:pPr>
            <w:r w:rsidRPr="00FE16B2">
              <w:rPr>
                <w:rFonts w:ascii="Times New Roman" w:hAnsi="Times New Roman" w:cs="Times New Roman"/>
                <w:b/>
                <w:bCs/>
              </w:rPr>
              <w:t>Net current assets</w:t>
            </w:r>
          </w:p>
        </w:tc>
        <w:tc>
          <w:tcPr>
            <w:tcW w:w="1417" w:type="dxa"/>
            <w:tcBorders>
              <w:top w:val="single" w:sz="4" w:space="0" w:color="000000" w:themeColor="text1"/>
              <w:bottom w:val="single" w:sz="4" w:space="0" w:color="000000" w:themeColor="text1"/>
            </w:tcBorders>
            <w:vAlign w:val="center"/>
          </w:tcPr>
          <w:p w:rsidR="00FE16B2" w:rsidRPr="00FE16B2" w:rsidRDefault="00FE16B2" w:rsidP="00FE16B2">
            <w:pPr>
              <w:spacing w:after="120" w:line="322" w:lineRule="auto"/>
              <w:jc w:val="right"/>
              <w:rPr>
                <w:rFonts w:ascii="Times New Roman" w:hAnsi="Times New Roman" w:cs="Times New Roman"/>
                <w:b/>
                <w:bCs/>
              </w:rPr>
            </w:pPr>
            <w:r w:rsidRPr="00FE16B2">
              <w:rPr>
                <w:rFonts w:ascii="Times New Roman" w:hAnsi="Times New Roman" w:cs="Times New Roman"/>
                <w:b/>
                <w:bCs/>
              </w:rPr>
              <w:t>69,480,674</w:t>
            </w:r>
          </w:p>
        </w:tc>
        <w:tc>
          <w:tcPr>
            <w:tcW w:w="284" w:type="dxa"/>
            <w:vAlign w:val="center"/>
          </w:tcPr>
          <w:p w:rsidR="00FE16B2" w:rsidRPr="00FE16B2" w:rsidRDefault="00FE16B2" w:rsidP="00FE16B2">
            <w:pPr>
              <w:spacing w:after="120" w:line="322" w:lineRule="auto"/>
              <w:jc w:val="right"/>
              <w:rPr>
                <w:rFonts w:ascii="Times New Roman" w:hAnsi="Times New Roman" w:cs="Times New Roman"/>
                <w:bCs/>
              </w:rPr>
            </w:pPr>
          </w:p>
        </w:tc>
        <w:tc>
          <w:tcPr>
            <w:tcW w:w="1337" w:type="dxa"/>
            <w:tcBorders>
              <w:top w:val="single" w:sz="4" w:space="0" w:color="000000" w:themeColor="text1"/>
              <w:bottom w:val="single" w:sz="4" w:space="0" w:color="000000" w:themeColor="text1"/>
            </w:tcBorders>
            <w:vAlign w:val="center"/>
          </w:tcPr>
          <w:p w:rsidR="00FE16B2" w:rsidRPr="00FE16B2" w:rsidRDefault="00FE16B2" w:rsidP="00FE16B2">
            <w:pPr>
              <w:tabs>
                <w:tab w:val="decimal" w:pos="1121"/>
              </w:tabs>
              <w:spacing w:after="200" w:line="276" w:lineRule="auto"/>
              <w:jc w:val="right"/>
              <w:rPr>
                <w:rFonts w:ascii="Times New Roman" w:hAnsi="Times New Roman" w:cs="Times New Roman"/>
                <w:bCs/>
              </w:rPr>
            </w:pPr>
            <w:r w:rsidRPr="00FE16B2">
              <w:rPr>
                <w:rFonts w:ascii="Times New Roman" w:hAnsi="Times New Roman" w:cs="Times New Roman"/>
                <w:bCs/>
              </w:rPr>
              <w:t>102,484,641</w:t>
            </w:r>
          </w:p>
        </w:tc>
      </w:tr>
      <w:tr w:rsidR="00FE16B2" w:rsidRPr="00FE16B2" w:rsidTr="00FE16B2">
        <w:trPr>
          <w:cantSplit/>
          <w:trHeight w:hRule="exact" w:val="340"/>
        </w:trPr>
        <w:tc>
          <w:tcPr>
            <w:tcW w:w="5353" w:type="dxa"/>
            <w:vAlign w:val="bottom"/>
          </w:tcPr>
          <w:p w:rsidR="00FE16B2" w:rsidRPr="00FE16B2" w:rsidRDefault="00FE16B2" w:rsidP="00FE16B2">
            <w:pPr>
              <w:spacing w:after="200" w:line="276" w:lineRule="auto"/>
              <w:rPr>
                <w:rFonts w:ascii="Times New Roman" w:hAnsi="Times New Roman" w:cs="Times New Roman"/>
                <w:b/>
                <w:bCs/>
              </w:rPr>
            </w:pPr>
            <w:r w:rsidRPr="00FE16B2">
              <w:rPr>
                <w:rFonts w:ascii="Times New Roman" w:hAnsi="Times New Roman" w:cs="Times New Roman"/>
                <w:b/>
                <w:bCs/>
              </w:rPr>
              <w:t>Non-current liabilities</w:t>
            </w:r>
          </w:p>
        </w:tc>
        <w:tc>
          <w:tcPr>
            <w:tcW w:w="1417" w:type="dxa"/>
            <w:tcBorders>
              <w:top w:val="single" w:sz="4" w:space="0" w:color="000000" w:themeColor="text1"/>
            </w:tcBorders>
          </w:tcPr>
          <w:p w:rsidR="00FE16B2" w:rsidRPr="00FE16B2" w:rsidRDefault="00FE16B2" w:rsidP="00FE16B2">
            <w:pPr>
              <w:spacing w:after="120" w:line="322" w:lineRule="auto"/>
              <w:jc w:val="right"/>
              <w:rPr>
                <w:rFonts w:ascii="Times New Roman" w:hAnsi="Times New Roman" w:cs="Times New Roman"/>
                <w:b/>
                <w:bCs/>
              </w:rPr>
            </w:pPr>
          </w:p>
        </w:tc>
        <w:tc>
          <w:tcPr>
            <w:tcW w:w="284" w:type="dxa"/>
          </w:tcPr>
          <w:p w:rsidR="00FE16B2" w:rsidRPr="00FE16B2" w:rsidRDefault="00FE16B2" w:rsidP="00FE16B2">
            <w:pPr>
              <w:spacing w:after="120" w:line="322" w:lineRule="auto"/>
              <w:jc w:val="right"/>
              <w:rPr>
                <w:rFonts w:ascii="Times New Roman" w:hAnsi="Times New Roman" w:cs="Times New Roman"/>
                <w:bCs/>
              </w:rPr>
            </w:pPr>
          </w:p>
        </w:tc>
        <w:tc>
          <w:tcPr>
            <w:tcW w:w="1337" w:type="dxa"/>
            <w:tcBorders>
              <w:top w:val="single" w:sz="4" w:space="0" w:color="000000" w:themeColor="text1"/>
            </w:tcBorders>
            <w:vAlign w:val="center"/>
          </w:tcPr>
          <w:p w:rsidR="00FE16B2" w:rsidRPr="00FE16B2" w:rsidRDefault="00FE16B2" w:rsidP="00FE16B2">
            <w:pPr>
              <w:tabs>
                <w:tab w:val="decimal" w:pos="1121"/>
              </w:tabs>
              <w:spacing w:after="200" w:line="276" w:lineRule="auto"/>
              <w:jc w:val="right"/>
              <w:rPr>
                <w:rFonts w:ascii="Times New Roman" w:hAnsi="Times New Roman" w:cs="Times New Roman"/>
                <w:bCs/>
              </w:rPr>
            </w:pPr>
          </w:p>
        </w:tc>
      </w:tr>
      <w:tr w:rsidR="00FE16B2" w:rsidRPr="00FE16B2" w:rsidTr="00FE16B2">
        <w:trPr>
          <w:cantSplit/>
          <w:trHeight w:hRule="exact" w:val="284"/>
        </w:trPr>
        <w:tc>
          <w:tcPr>
            <w:tcW w:w="5353" w:type="dxa"/>
            <w:vAlign w:val="bottom"/>
          </w:tcPr>
          <w:p w:rsidR="00FE16B2" w:rsidRPr="00FE16B2" w:rsidRDefault="00FE16B2" w:rsidP="00FE16B2">
            <w:pPr>
              <w:spacing w:after="200" w:line="276" w:lineRule="auto"/>
              <w:rPr>
                <w:rFonts w:ascii="Times New Roman" w:hAnsi="Times New Roman" w:cs="Times New Roman"/>
                <w:bCs/>
              </w:rPr>
            </w:pPr>
            <w:r w:rsidRPr="00FE16B2">
              <w:rPr>
                <w:rFonts w:ascii="Times New Roman" w:hAnsi="Times New Roman" w:cs="Times New Roman"/>
                <w:bCs/>
              </w:rPr>
              <w:t>Borrowings</w:t>
            </w:r>
          </w:p>
        </w:tc>
        <w:tc>
          <w:tcPr>
            <w:tcW w:w="1417" w:type="dxa"/>
          </w:tcPr>
          <w:p w:rsidR="00FE16B2" w:rsidRPr="00FE16B2" w:rsidRDefault="00FE16B2" w:rsidP="00FE16B2">
            <w:pPr>
              <w:spacing w:after="120" w:line="322" w:lineRule="auto"/>
              <w:jc w:val="right"/>
              <w:rPr>
                <w:rFonts w:ascii="Times New Roman" w:hAnsi="Times New Roman" w:cs="Times New Roman"/>
                <w:b/>
                <w:bCs/>
              </w:rPr>
            </w:pPr>
            <w:r w:rsidRPr="00FE16B2">
              <w:rPr>
                <w:rFonts w:ascii="Times New Roman" w:hAnsi="Times New Roman" w:cs="Times New Roman"/>
                <w:b/>
                <w:bCs/>
              </w:rPr>
              <w:t>15,000,000</w:t>
            </w:r>
          </w:p>
        </w:tc>
        <w:tc>
          <w:tcPr>
            <w:tcW w:w="284" w:type="dxa"/>
          </w:tcPr>
          <w:p w:rsidR="00FE16B2" w:rsidRPr="00FE16B2" w:rsidRDefault="00FE16B2" w:rsidP="00FE16B2">
            <w:pPr>
              <w:spacing w:after="120" w:line="322" w:lineRule="auto"/>
              <w:jc w:val="right"/>
              <w:rPr>
                <w:rFonts w:ascii="Times New Roman" w:hAnsi="Times New Roman" w:cs="Times New Roman"/>
                <w:bCs/>
              </w:rPr>
            </w:pPr>
          </w:p>
        </w:tc>
        <w:tc>
          <w:tcPr>
            <w:tcW w:w="1337" w:type="dxa"/>
            <w:vAlign w:val="center"/>
          </w:tcPr>
          <w:p w:rsidR="00FE16B2" w:rsidRPr="00FE16B2" w:rsidRDefault="00FE16B2" w:rsidP="00FE16B2">
            <w:pPr>
              <w:tabs>
                <w:tab w:val="decimal" w:pos="1121"/>
              </w:tabs>
              <w:spacing w:after="200" w:line="276" w:lineRule="auto"/>
              <w:jc w:val="right"/>
              <w:rPr>
                <w:rFonts w:ascii="Times New Roman" w:hAnsi="Times New Roman" w:cs="Times New Roman"/>
                <w:bCs/>
              </w:rPr>
            </w:pPr>
            <w:r w:rsidRPr="00FE16B2">
              <w:rPr>
                <w:rFonts w:ascii="Times New Roman" w:hAnsi="Times New Roman" w:cs="Times New Roman"/>
                <w:bCs/>
              </w:rPr>
              <w:t>15,000,000</w:t>
            </w:r>
          </w:p>
        </w:tc>
      </w:tr>
      <w:tr w:rsidR="00FE16B2" w:rsidRPr="00FE16B2" w:rsidTr="00FE16B2">
        <w:trPr>
          <w:cantSplit/>
          <w:trHeight w:hRule="exact" w:val="284"/>
        </w:trPr>
        <w:tc>
          <w:tcPr>
            <w:tcW w:w="5353" w:type="dxa"/>
            <w:vAlign w:val="center"/>
          </w:tcPr>
          <w:p w:rsidR="00FE16B2" w:rsidRPr="00FE16B2" w:rsidRDefault="00FE16B2" w:rsidP="00FE16B2">
            <w:pPr>
              <w:spacing w:after="200" w:line="276" w:lineRule="auto"/>
              <w:rPr>
                <w:rFonts w:ascii="Times New Roman" w:hAnsi="Times New Roman" w:cs="Times New Roman"/>
                <w:bCs/>
              </w:rPr>
            </w:pPr>
            <w:r w:rsidRPr="00FE16B2">
              <w:rPr>
                <w:rFonts w:ascii="Times New Roman" w:hAnsi="Times New Roman" w:cs="Times New Roman"/>
                <w:bCs/>
              </w:rPr>
              <w:t>Deferred tax liabilities</w:t>
            </w:r>
          </w:p>
        </w:tc>
        <w:tc>
          <w:tcPr>
            <w:tcW w:w="1417" w:type="dxa"/>
            <w:tcBorders>
              <w:bottom w:val="single" w:sz="4" w:space="0" w:color="000000" w:themeColor="text1"/>
            </w:tcBorders>
          </w:tcPr>
          <w:p w:rsidR="00FE16B2" w:rsidRPr="00FE16B2" w:rsidRDefault="00FE16B2" w:rsidP="00FE16B2">
            <w:pPr>
              <w:spacing w:after="120" w:line="322" w:lineRule="auto"/>
              <w:jc w:val="right"/>
              <w:rPr>
                <w:rFonts w:ascii="Times New Roman" w:hAnsi="Times New Roman" w:cs="Times New Roman"/>
                <w:b/>
                <w:bCs/>
              </w:rPr>
            </w:pPr>
            <w:r w:rsidRPr="00FE16B2">
              <w:rPr>
                <w:rFonts w:ascii="Times New Roman" w:hAnsi="Times New Roman" w:cs="Times New Roman"/>
                <w:b/>
                <w:bCs/>
              </w:rPr>
              <w:t>3,376,146</w:t>
            </w:r>
          </w:p>
        </w:tc>
        <w:tc>
          <w:tcPr>
            <w:tcW w:w="284" w:type="dxa"/>
          </w:tcPr>
          <w:p w:rsidR="00FE16B2" w:rsidRPr="00FE16B2" w:rsidRDefault="00FE16B2" w:rsidP="00FE16B2">
            <w:pPr>
              <w:spacing w:after="120" w:line="322" w:lineRule="auto"/>
              <w:jc w:val="right"/>
              <w:rPr>
                <w:rFonts w:ascii="Times New Roman" w:hAnsi="Times New Roman" w:cs="Times New Roman"/>
                <w:bCs/>
              </w:rPr>
            </w:pPr>
          </w:p>
        </w:tc>
        <w:tc>
          <w:tcPr>
            <w:tcW w:w="1337" w:type="dxa"/>
            <w:tcBorders>
              <w:bottom w:val="single" w:sz="4" w:space="0" w:color="000000" w:themeColor="text1"/>
            </w:tcBorders>
            <w:vAlign w:val="center"/>
          </w:tcPr>
          <w:p w:rsidR="00FE16B2" w:rsidRPr="00FE16B2" w:rsidRDefault="00FE16B2" w:rsidP="00FE16B2">
            <w:pPr>
              <w:spacing w:after="120" w:line="322" w:lineRule="auto"/>
              <w:jc w:val="right"/>
              <w:rPr>
                <w:rFonts w:ascii="Times New Roman" w:hAnsi="Times New Roman" w:cs="Times New Roman"/>
                <w:bCs/>
              </w:rPr>
            </w:pPr>
            <w:r w:rsidRPr="00FE16B2">
              <w:rPr>
                <w:rFonts w:ascii="Times New Roman" w:hAnsi="Times New Roman" w:cs="Times New Roman"/>
                <w:bCs/>
              </w:rPr>
              <w:t>13,685,845</w:t>
            </w:r>
          </w:p>
        </w:tc>
      </w:tr>
      <w:tr w:rsidR="00FE16B2" w:rsidRPr="00FE16B2" w:rsidTr="00FE16B2">
        <w:trPr>
          <w:cantSplit/>
          <w:trHeight w:hRule="exact" w:val="284"/>
        </w:trPr>
        <w:tc>
          <w:tcPr>
            <w:tcW w:w="5353" w:type="dxa"/>
            <w:vAlign w:val="center"/>
          </w:tcPr>
          <w:p w:rsidR="00FE16B2" w:rsidRPr="00FE16B2" w:rsidRDefault="00FE16B2" w:rsidP="00FE16B2">
            <w:pPr>
              <w:rPr>
                <w:rFonts w:ascii="Times New Roman" w:hAnsi="Times New Roman" w:cs="Times New Roman"/>
                <w:b/>
                <w:bCs/>
              </w:rPr>
            </w:pPr>
          </w:p>
        </w:tc>
        <w:tc>
          <w:tcPr>
            <w:tcW w:w="1417" w:type="dxa"/>
            <w:tcBorders>
              <w:top w:val="single" w:sz="4" w:space="0" w:color="000000" w:themeColor="text1"/>
              <w:bottom w:val="single" w:sz="4" w:space="0" w:color="000000" w:themeColor="text1"/>
            </w:tcBorders>
            <w:vAlign w:val="center"/>
          </w:tcPr>
          <w:p w:rsidR="00FE16B2" w:rsidRPr="00FE16B2" w:rsidRDefault="00FE16B2" w:rsidP="00FE16B2">
            <w:pPr>
              <w:spacing w:after="120" w:line="322" w:lineRule="auto"/>
              <w:jc w:val="right"/>
              <w:rPr>
                <w:rFonts w:ascii="Times New Roman" w:hAnsi="Times New Roman" w:cs="Times New Roman"/>
                <w:b/>
                <w:bCs/>
              </w:rPr>
            </w:pPr>
            <w:r w:rsidRPr="00FE16B2">
              <w:rPr>
                <w:rFonts w:ascii="Times New Roman" w:hAnsi="Times New Roman" w:cs="Times New Roman"/>
                <w:b/>
                <w:bCs/>
              </w:rPr>
              <w:t>18,376,146</w:t>
            </w:r>
          </w:p>
        </w:tc>
        <w:tc>
          <w:tcPr>
            <w:tcW w:w="284" w:type="dxa"/>
            <w:vAlign w:val="center"/>
          </w:tcPr>
          <w:p w:rsidR="00FE16B2" w:rsidRPr="00FE16B2" w:rsidRDefault="00FE16B2" w:rsidP="00FE16B2">
            <w:pPr>
              <w:spacing w:after="120" w:line="322" w:lineRule="auto"/>
              <w:jc w:val="right"/>
              <w:rPr>
                <w:rFonts w:ascii="Times New Roman" w:hAnsi="Times New Roman" w:cs="Times New Roman"/>
                <w:bCs/>
              </w:rPr>
            </w:pPr>
          </w:p>
        </w:tc>
        <w:tc>
          <w:tcPr>
            <w:tcW w:w="1337" w:type="dxa"/>
            <w:tcBorders>
              <w:top w:val="single" w:sz="4" w:space="0" w:color="000000" w:themeColor="text1"/>
              <w:bottom w:val="single" w:sz="4" w:space="0" w:color="000000" w:themeColor="text1"/>
            </w:tcBorders>
            <w:vAlign w:val="center"/>
          </w:tcPr>
          <w:p w:rsidR="00FE16B2" w:rsidRPr="00FE16B2" w:rsidRDefault="00FE16B2" w:rsidP="00FE16B2">
            <w:pPr>
              <w:tabs>
                <w:tab w:val="decimal" w:pos="1121"/>
              </w:tabs>
              <w:spacing w:after="200" w:line="276" w:lineRule="auto"/>
              <w:jc w:val="right"/>
              <w:rPr>
                <w:rFonts w:ascii="Times New Roman" w:hAnsi="Times New Roman" w:cs="Times New Roman"/>
                <w:bCs/>
              </w:rPr>
            </w:pPr>
            <w:r w:rsidRPr="00FE16B2">
              <w:rPr>
                <w:rFonts w:ascii="Times New Roman" w:hAnsi="Times New Roman" w:cs="Times New Roman"/>
                <w:bCs/>
              </w:rPr>
              <w:t>28,685,845</w:t>
            </w:r>
          </w:p>
        </w:tc>
      </w:tr>
      <w:tr w:rsidR="00FE16B2" w:rsidRPr="00FE16B2" w:rsidTr="00FE16B2">
        <w:trPr>
          <w:cantSplit/>
          <w:trHeight w:hRule="exact" w:val="284"/>
        </w:trPr>
        <w:tc>
          <w:tcPr>
            <w:tcW w:w="5353" w:type="dxa"/>
            <w:vAlign w:val="center"/>
          </w:tcPr>
          <w:p w:rsidR="00FE16B2" w:rsidRPr="00FE16B2" w:rsidRDefault="00FE16B2" w:rsidP="00FE16B2">
            <w:pPr>
              <w:spacing w:after="200" w:line="276" w:lineRule="auto"/>
              <w:rPr>
                <w:rFonts w:ascii="Times New Roman" w:hAnsi="Times New Roman" w:cs="Times New Roman"/>
                <w:b/>
                <w:bCs/>
              </w:rPr>
            </w:pPr>
            <w:r w:rsidRPr="00FE16B2">
              <w:rPr>
                <w:rFonts w:ascii="Times New Roman" w:hAnsi="Times New Roman" w:cs="Times New Roman"/>
                <w:b/>
                <w:bCs/>
              </w:rPr>
              <w:t>Net assets</w:t>
            </w:r>
          </w:p>
        </w:tc>
        <w:tc>
          <w:tcPr>
            <w:tcW w:w="1417" w:type="dxa"/>
            <w:tcBorders>
              <w:top w:val="single" w:sz="4" w:space="0" w:color="000000" w:themeColor="text1"/>
              <w:bottom w:val="single" w:sz="12" w:space="0" w:color="000000" w:themeColor="text1"/>
            </w:tcBorders>
          </w:tcPr>
          <w:p w:rsidR="00FE16B2" w:rsidRPr="00FE16B2" w:rsidRDefault="00FE16B2" w:rsidP="00FE16B2">
            <w:pPr>
              <w:spacing w:after="120" w:line="322" w:lineRule="auto"/>
              <w:jc w:val="right"/>
              <w:rPr>
                <w:rFonts w:ascii="Times New Roman" w:hAnsi="Times New Roman" w:cs="Times New Roman"/>
                <w:b/>
                <w:bCs/>
              </w:rPr>
            </w:pPr>
            <w:r w:rsidRPr="00FE16B2">
              <w:rPr>
                <w:rFonts w:ascii="Times New Roman" w:hAnsi="Times New Roman" w:cs="Times New Roman"/>
                <w:b/>
                <w:bCs/>
              </w:rPr>
              <w:t>51,810,400</w:t>
            </w:r>
          </w:p>
        </w:tc>
        <w:tc>
          <w:tcPr>
            <w:tcW w:w="284" w:type="dxa"/>
          </w:tcPr>
          <w:p w:rsidR="00FE16B2" w:rsidRPr="00FE16B2" w:rsidRDefault="00FE16B2" w:rsidP="00FE16B2">
            <w:pPr>
              <w:spacing w:after="120" w:line="322" w:lineRule="auto"/>
              <w:jc w:val="right"/>
              <w:rPr>
                <w:rFonts w:ascii="Times New Roman" w:hAnsi="Times New Roman" w:cs="Times New Roman"/>
                <w:bCs/>
              </w:rPr>
            </w:pPr>
          </w:p>
        </w:tc>
        <w:tc>
          <w:tcPr>
            <w:tcW w:w="1337" w:type="dxa"/>
            <w:tcBorders>
              <w:top w:val="single" w:sz="4" w:space="0" w:color="000000" w:themeColor="text1"/>
              <w:bottom w:val="single" w:sz="12" w:space="0" w:color="000000" w:themeColor="text1"/>
            </w:tcBorders>
            <w:vAlign w:val="center"/>
          </w:tcPr>
          <w:p w:rsidR="00FE16B2" w:rsidRPr="00FE16B2" w:rsidRDefault="00FE16B2" w:rsidP="00FE16B2">
            <w:pPr>
              <w:spacing w:after="120" w:line="322" w:lineRule="auto"/>
              <w:jc w:val="right"/>
              <w:rPr>
                <w:rFonts w:ascii="Times New Roman" w:hAnsi="Times New Roman" w:cs="Times New Roman"/>
                <w:bCs/>
              </w:rPr>
            </w:pPr>
            <w:r w:rsidRPr="00FE16B2">
              <w:rPr>
                <w:rFonts w:ascii="Times New Roman" w:hAnsi="Times New Roman" w:cs="Times New Roman"/>
                <w:bCs/>
              </w:rPr>
              <w:t>74,638,810</w:t>
            </w:r>
          </w:p>
        </w:tc>
      </w:tr>
      <w:tr w:rsidR="00FE16B2" w:rsidRPr="00FE16B2" w:rsidTr="00FE16B2">
        <w:trPr>
          <w:cantSplit/>
          <w:trHeight w:hRule="exact" w:val="340"/>
        </w:trPr>
        <w:tc>
          <w:tcPr>
            <w:tcW w:w="5353" w:type="dxa"/>
            <w:vAlign w:val="bottom"/>
          </w:tcPr>
          <w:p w:rsidR="00FE16B2" w:rsidRPr="00FE16B2" w:rsidRDefault="00FE16B2" w:rsidP="00FE16B2">
            <w:pPr>
              <w:autoSpaceDE w:val="0"/>
              <w:autoSpaceDN w:val="0"/>
              <w:adjustRightInd w:val="0"/>
              <w:spacing w:after="200" w:line="276" w:lineRule="auto"/>
              <w:rPr>
                <w:rFonts w:ascii="Times New Roman" w:hAnsi="Times New Roman" w:cs="Times New Roman"/>
                <w:b/>
                <w:bCs/>
              </w:rPr>
            </w:pPr>
            <w:r w:rsidRPr="00FE16B2">
              <w:rPr>
                <w:rFonts w:ascii="Times New Roman" w:hAnsi="Times New Roman" w:cs="Times New Roman"/>
                <w:b/>
                <w:bCs/>
              </w:rPr>
              <w:t>Capital and reserves attributable to equity holders</w:t>
            </w:r>
          </w:p>
        </w:tc>
        <w:tc>
          <w:tcPr>
            <w:tcW w:w="1417" w:type="dxa"/>
            <w:tcBorders>
              <w:top w:val="single" w:sz="12" w:space="0" w:color="000000" w:themeColor="text1"/>
            </w:tcBorders>
          </w:tcPr>
          <w:p w:rsidR="00FE16B2" w:rsidRPr="00FE16B2" w:rsidRDefault="00FE16B2" w:rsidP="00FE16B2">
            <w:pPr>
              <w:spacing w:after="120" w:line="322" w:lineRule="auto"/>
              <w:jc w:val="right"/>
              <w:rPr>
                <w:rFonts w:ascii="Times New Roman" w:hAnsi="Times New Roman" w:cs="Times New Roman"/>
                <w:b/>
                <w:bCs/>
              </w:rPr>
            </w:pPr>
          </w:p>
        </w:tc>
        <w:tc>
          <w:tcPr>
            <w:tcW w:w="284" w:type="dxa"/>
          </w:tcPr>
          <w:p w:rsidR="00FE16B2" w:rsidRPr="00FE16B2" w:rsidRDefault="00FE16B2" w:rsidP="00FE16B2">
            <w:pPr>
              <w:spacing w:after="120" w:line="322" w:lineRule="auto"/>
              <w:jc w:val="right"/>
              <w:rPr>
                <w:rFonts w:ascii="Times New Roman" w:hAnsi="Times New Roman" w:cs="Times New Roman"/>
                <w:bCs/>
              </w:rPr>
            </w:pPr>
          </w:p>
        </w:tc>
        <w:tc>
          <w:tcPr>
            <w:tcW w:w="1337" w:type="dxa"/>
            <w:tcBorders>
              <w:top w:val="single" w:sz="12" w:space="0" w:color="000000" w:themeColor="text1"/>
            </w:tcBorders>
            <w:vAlign w:val="center"/>
          </w:tcPr>
          <w:p w:rsidR="00FE16B2" w:rsidRPr="00FE16B2" w:rsidRDefault="00FE16B2" w:rsidP="00FE16B2">
            <w:pPr>
              <w:tabs>
                <w:tab w:val="decimal" w:pos="1121"/>
              </w:tabs>
              <w:spacing w:after="200" w:line="276" w:lineRule="auto"/>
              <w:jc w:val="right"/>
              <w:rPr>
                <w:rFonts w:ascii="Times New Roman" w:hAnsi="Times New Roman" w:cs="Times New Roman"/>
                <w:bCs/>
              </w:rPr>
            </w:pPr>
          </w:p>
        </w:tc>
      </w:tr>
      <w:tr w:rsidR="00FE16B2" w:rsidRPr="00FE16B2" w:rsidTr="00FE16B2">
        <w:trPr>
          <w:cantSplit/>
          <w:trHeight w:hRule="exact" w:val="284"/>
        </w:trPr>
        <w:tc>
          <w:tcPr>
            <w:tcW w:w="5353" w:type="dxa"/>
            <w:vAlign w:val="center"/>
          </w:tcPr>
          <w:p w:rsidR="00FE16B2" w:rsidRPr="00FE16B2" w:rsidRDefault="00FE16B2" w:rsidP="00FE16B2">
            <w:pPr>
              <w:spacing w:after="200" w:line="276" w:lineRule="auto"/>
              <w:rPr>
                <w:rFonts w:ascii="Times New Roman" w:hAnsi="Times New Roman" w:cs="Times New Roman"/>
                <w:bCs/>
              </w:rPr>
            </w:pPr>
            <w:r w:rsidRPr="00FE16B2">
              <w:rPr>
                <w:rFonts w:ascii="Times New Roman" w:hAnsi="Times New Roman" w:cs="Times New Roman"/>
                <w:bCs/>
              </w:rPr>
              <w:t>Share capital</w:t>
            </w:r>
          </w:p>
        </w:tc>
        <w:tc>
          <w:tcPr>
            <w:tcW w:w="1417" w:type="dxa"/>
          </w:tcPr>
          <w:p w:rsidR="00FE16B2" w:rsidRPr="00FE16B2" w:rsidRDefault="00FE16B2" w:rsidP="00FE16B2">
            <w:pPr>
              <w:spacing w:after="120" w:line="322" w:lineRule="auto"/>
              <w:jc w:val="right"/>
              <w:rPr>
                <w:rFonts w:ascii="Times New Roman" w:hAnsi="Times New Roman" w:cs="Times New Roman"/>
                <w:b/>
                <w:bCs/>
              </w:rPr>
            </w:pPr>
            <w:r w:rsidRPr="00FE16B2">
              <w:rPr>
                <w:rFonts w:ascii="Times New Roman" w:hAnsi="Times New Roman" w:cs="Times New Roman"/>
                <w:b/>
                <w:bCs/>
              </w:rPr>
              <w:t>538,825</w:t>
            </w:r>
          </w:p>
        </w:tc>
        <w:tc>
          <w:tcPr>
            <w:tcW w:w="284" w:type="dxa"/>
          </w:tcPr>
          <w:p w:rsidR="00FE16B2" w:rsidRPr="00FE16B2" w:rsidRDefault="00FE16B2" w:rsidP="00FE16B2">
            <w:pPr>
              <w:spacing w:after="120" w:line="322" w:lineRule="auto"/>
              <w:jc w:val="right"/>
              <w:rPr>
                <w:rFonts w:ascii="Times New Roman" w:hAnsi="Times New Roman" w:cs="Times New Roman"/>
                <w:bCs/>
              </w:rPr>
            </w:pPr>
          </w:p>
        </w:tc>
        <w:tc>
          <w:tcPr>
            <w:tcW w:w="1337" w:type="dxa"/>
            <w:vAlign w:val="center"/>
          </w:tcPr>
          <w:p w:rsidR="00FE16B2" w:rsidRPr="00FE16B2" w:rsidRDefault="00FE16B2" w:rsidP="00FE16B2">
            <w:pPr>
              <w:tabs>
                <w:tab w:val="decimal" w:pos="1121"/>
              </w:tabs>
              <w:spacing w:after="200" w:line="276" w:lineRule="auto"/>
              <w:jc w:val="right"/>
              <w:rPr>
                <w:rFonts w:ascii="Times New Roman" w:hAnsi="Times New Roman" w:cs="Times New Roman"/>
                <w:bCs/>
              </w:rPr>
            </w:pPr>
            <w:r w:rsidRPr="00FE16B2">
              <w:rPr>
                <w:rFonts w:ascii="Times New Roman" w:hAnsi="Times New Roman" w:cs="Times New Roman"/>
                <w:bCs/>
              </w:rPr>
              <w:t>538,825</w:t>
            </w:r>
          </w:p>
        </w:tc>
      </w:tr>
      <w:tr w:rsidR="00FE16B2" w:rsidRPr="00FE16B2" w:rsidTr="00FE16B2">
        <w:trPr>
          <w:cantSplit/>
          <w:trHeight w:hRule="exact" w:val="284"/>
        </w:trPr>
        <w:tc>
          <w:tcPr>
            <w:tcW w:w="5353" w:type="dxa"/>
            <w:vAlign w:val="center"/>
          </w:tcPr>
          <w:p w:rsidR="00FE16B2" w:rsidRPr="00FE16B2" w:rsidRDefault="00FE16B2" w:rsidP="00FE16B2">
            <w:pPr>
              <w:spacing w:after="200" w:line="276" w:lineRule="auto"/>
              <w:rPr>
                <w:rFonts w:ascii="Times New Roman" w:hAnsi="Times New Roman" w:cs="Times New Roman"/>
                <w:b/>
                <w:bCs/>
              </w:rPr>
            </w:pPr>
            <w:r w:rsidRPr="00FE16B2">
              <w:rPr>
                <w:rFonts w:ascii="Times New Roman" w:hAnsi="Times New Roman" w:cs="Times New Roman"/>
                <w:b/>
                <w:bCs/>
              </w:rPr>
              <w:t>Reserves</w:t>
            </w:r>
          </w:p>
        </w:tc>
        <w:tc>
          <w:tcPr>
            <w:tcW w:w="1417" w:type="dxa"/>
            <w:vAlign w:val="center"/>
          </w:tcPr>
          <w:p w:rsidR="00FE16B2" w:rsidRPr="00FE16B2" w:rsidRDefault="00FE16B2" w:rsidP="00FE16B2">
            <w:pPr>
              <w:tabs>
                <w:tab w:val="decimal" w:pos="1121"/>
              </w:tabs>
              <w:spacing w:after="200" w:line="276" w:lineRule="auto"/>
              <w:jc w:val="right"/>
              <w:rPr>
                <w:rFonts w:ascii="Times New Roman" w:hAnsi="Times New Roman" w:cs="Times New Roman"/>
                <w:bCs/>
              </w:rPr>
            </w:pPr>
          </w:p>
        </w:tc>
        <w:tc>
          <w:tcPr>
            <w:tcW w:w="284" w:type="dxa"/>
          </w:tcPr>
          <w:p w:rsidR="00FE16B2" w:rsidRPr="00FE16B2" w:rsidRDefault="00FE16B2" w:rsidP="00FE16B2">
            <w:pPr>
              <w:spacing w:after="120" w:line="322" w:lineRule="auto"/>
              <w:jc w:val="right"/>
              <w:rPr>
                <w:rFonts w:ascii="Times New Roman" w:hAnsi="Times New Roman" w:cs="Times New Roman"/>
                <w:b/>
                <w:bCs/>
              </w:rPr>
            </w:pPr>
          </w:p>
        </w:tc>
        <w:tc>
          <w:tcPr>
            <w:tcW w:w="1337" w:type="dxa"/>
            <w:vAlign w:val="center"/>
          </w:tcPr>
          <w:p w:rsidR="00FE16B2" w:rsidRPr="00FE16B2" w:rsidRDefault="00FE16B2" w:rsidP="00FE16B2">
            <w:pPr>
              <w:tabs>
                <w:tab w:val="decimal" w:pos="1121"/>
              </w:tabs>
              <w:spacing w:after="200" w:line="276" w:lineRule="auto"/>
              <w:jc w:val="right"/>
              <w:rPr>
                <w:rFonts w:ascii="Times New Roman" w:hAnsi="Times New Roman" w:cs="Times New Roman"/>
                <w:bCs/>
              </w:rPr>
            </w:pPr>
          </w:p>
        </w:tc>
      </w:tr>
      <w:tr w:rsidR="00FE16B2" w:rsidRPr="00FE16B2" w:rsidTr="00FE16B2">
        <w:trPr>
          <w:cantSplit/>
          <w:trHeight w:hRule="exact" w:val="284"/>
        </w:trPr>
        <w:tc>
          <w:tcPr>
            <w:tcW w:w="5353" w:type="dxa"/>
            <w:vAlign w:val="center"/>
          </w:tcPr>
          <w:p w:rsidR="00FE16B2" w:rsidRPr="00FE16B2" w:rsidRDefault="00FE16B2" w:rsidP="00FE16B2">
            <w:pPr>
              <w:spacing w:after="200" w:line="276" w:lineRule="auto"/>
              <w:rPr>
                <w:rFonts w:ascii="Times New Roman" w:hAnsi="Times New Roman" w:cs="Times New Roman"/>
                <w:bCs/>
              </w:rPr>
            </w:pPr>
            <w:r w:rsidRPr="00FE16B2">
              <w:rPr>
                <w:rFonts w:ascii="Times New Roman" w:hAnsi="Times New Roman" w:cs="Times New Roman"/>
                <w:bCs/>
              </w:rPr>
              <w:t>Share premium</w:t>
            </w:r>
          </w:p>
        </w:tc>
        <w:tc>
          <w:tcPr>
            <w:tcW w:w="1417" w:type="dxa"/>
            <w:vAlign w:val="center"/>
          </w:tcPr>
          <w:p w:rsidR="00FE16B2" w:rsidRPr="00FE16B2" w:rsidRDefault="00FE16B2" w:rsidP="00FE16B2">
            <w:pPr>
              <w:tabs>
                <w:tab w:val="decimal" w:pos="1121"/>
                <w:tab w:val="center" w:pos="4513"/>
                <w:tab w:val="right" w:pos="9026"/>
              </w:tabs>
              <w:spacing w:after="200" w:line="276" w:lineRule="auto"/>
              <w:jc w:val="right"/>
              <w:rPr>
                <w:rFonts w:ascii="Times New Roman" w:hAnsi="Times New Roman" w:cs="Times New Roman"/>
                <w:b/>
                <w:bCs/>
              </w:rPr>
            </w:pPr>
            <w:r w:rsidRPr="00FE16B2">
              <w:rPr>
                <w:rFonts w:ascii="Times New Roman" w:hAnsi="Times New Roman" w:cs="Times New Roman"/>
                <w:b/>
                <w:bCs/>
              </w:rPr>
              <w:t>6,017</w:t>
            </w:r>
          </w:p>
        </w:tc>
        <w:tc>
          <w:tcPr>
            <w:tcW w:w="284" w:type="dxa"/>
          </w:tcPr>
          <w:p w:rsidR="00FE16B2" w:rsidRPr="00FE16B2" w:rsidRDefault="00FE16B2" w:rsidP="00FE16B2">
            <w:pPr>
              <w:spacing w:after="120" w:line="322" w:lineRule="auto"/>
              <w:jc w:val="right"/>
              <w:rPr>
                <w:rFonts w:ascii="Times New Roman" w:hAnsi="Times New Roman" w:cs="Times New Roman"/>
                <w:bCs/>
              </w:rPr>
            </w:pPr>
          </w:p>
        </w:tc>
        <w:tc>
          <w:tcPr>
            <w:tcW w:w="1337" w:type="dxa"/>
            <w:vAlign w:val="center"/>
          </w:tcPr>
          <w:p w:rsidR="00FE16B2" w:rsidRPr="00FE16B2" w:rsidRDefault="00FE16B2" w:rsidP="00FE16B2">
            <w:pPr>
              <w:tabs>
                <w:tab w:val="decimal" w:pos="1121"/>
              </w:tabs>
              <w:spacing w:after="200" w:line="276" w:lineRule="auto"/>
              <w:jc w:val="right"/>
              <w:rPr>
                <w:rFonts w:ascii="Times New Roman" w:hAnsi="Times New Roman" w:cs="Times New Roman"/>
                <w:bCs/>
              </w:rPr>
            </w:pPr>
            <w:r w:rsidRPr="00FE16B2">
              <w:rPr>
                <w:rFonts w:ascii="Times New Roman" w:hAnsi="Times New Roman" w:cs="Times New Roman"/>
                <w:bCs/>
              </w:rPr>
              <w:t>6,017</w:t>
            </w:r>
          </w:p>
        </w:tc>
      </w:tr>
      <w:tr w:rsidR="00FE16B2" w:rsidRPr="00FE16B2" w:rsidTr="00FE16B2">
        <w:trPr>
          <w:cantSplit/>
          <w:trHeight w:hRule="exact" w:val="284"/>
        </w:trPr>
        <w:tc>
          <w:tcPr>
            <w:tcW w:w="5353" w:type="dxa"/>
            <w:vAlign w:val="center"/>
          </w:tcPr>
          <w:p w:rsidR="00FE16B2" w:rsidRPr="00FE16B2" w:rsidRDefault="00FE16B2" w:rsidP="00FE16B2">
            <w:pPr>
              <w:spacing w:after="200" w:line="276" w:lineRule="auto"/>
              <w:rPr>
                <w:rFonts w:ascii="Times New Roman" w:hAnsi="Times New Roman" w:cs="Times New Roman"/>
                <w:bCs/>
              </w:rPr>
            </w:pPr>
            <w:r w:rsidRPr="00FE16B2">
              <w:rPr>
                <w:rFonts w:ascii="Times New Roman" w:hAnsi="Times New Roman" w:cs="Times New Roman"/>
                <w:bCs/>
              </w:rPr>
              <w:t>Capital redemption reserve</w:t>
            </w:r>
          </w:p>
        </w:tc>
        <w:tc>
          <w:tcPr>
            <w:tcW w:w="1417" w:type="dxa"/>
            <w:vAlign w:val="center"/>
          </w:tcPr>
          <w:p w:rsidR="00FE16B2" w:rsidRPr="00FE16B2" w:rsidRDefault="00FE16B2" w:rsidP="00FE16B2">
            <w:pPr>
              <w:tabs>
                <w:tab w:val="decimal" w:pos="1121"/>
                <w:tab w:val="center" w:pos="4513"/>
                <w:tab w:val="right" w:pos="9026"/>
              </w:tabs>
              <w:spacing w:after="200" w:line="276" w:lineRule="auto"/>
              <w:jc w:val="right"/>
              <w:rPr>
                <w:rFonts w:ascii="Times New Roman" w:hAnsi="Times New Roman" w:cs="Times New Roman"/>
                <w:b/>
                <w:bCs/>
              </w:rPr>
            </w:pPr>
            <w:r w:rsidRPr="00FE16B2">
              <w:rPr>
                <w:rFonts w:ascii="Times New Roman" w:hAnsi="Times New Roman" w:cs="Times New Roman"/>
                <w:b/>
                <w:bCs/>
              </w:rPr>
              <w:t>347,402</w:t>
            </w:r>
          </w:p>
        </w:tc>
        <w:tc>
          <w:tcPr>
            <w:tcW w:w="284" w:type="dxa"/>
          </w:tcPr>
          <w:p w:rsidR="00FE16B2" w:rsidRPr="00FE16B2" w:rsidRDefault="00FE16B2" w:rsidP="00FE16B2">
            <w:pPr>
              <w:spacing w:after="120" w:line="322" w:lineRule="auto"/>
              <w:jc w:val="right"/>
              <w:rPr>
                <w:rFonts w:ascii="Times New Roman" w:hAnsi="Times New Roman" w:cs="Times New Roman"/>
                <w:bCs/>
              </w:rPr>
            </w:pPr>
          </w:p>
        </w:tc>
        <w:tc>
          <w:tcPr>
            <w:tcW w:w="1337" w:type="dxa"/>
            <w:vAlign w:val="center"/>
          </w:tcPr>
          <w:p w:rsidR="00FE16B2" w:rsidRPr="00FE16B2" w:rsidRDefault="00FE16B2" w:rsidP="00FE16B2">
            <w:pPr>
              <w:tabs>
                <w:tab w:val="decimal" w:pos="1121"/>
              </w:tabs>
              <w:spacing w:after="200" w:line="276" w:lineRule="auto"/>
              <w:jc w:val="right"/>
              <w:rPr>
                <w:rFonts w:ascii="Times New Roman" w:hAnsi="Times New Roman" w:cs="Times New Roman"/>
                <w:bCs/>
              </w:rPr>
            </w:pPr>
            <w:r w:rsidRPr="00FE16B2">
              <w:rPr>
                <w:rFonts w:ascii="Times New Roman" w:hAnsi="Times New Roman" w:cs="Times New Roman"/>
                <w:bCs/>
              </w:rPr>
              <w:t>347,402</w:t>
            </w:r>
          </w:p>
        </w:tc>
      </w:tr>
      <w:tr w:rsidR="00FE16B2" w:rsidRPr="00FE16B2" w:rsidTr="00FE16B2">
        <w:trPr>
          <w:cantSplit/>
          <w:trHeight w:hRule="exact" w:val="284"/>
        </w:trPr>
        <w:tc>
          <w:tcPr>
            <w:tcW w:w="5353" w:type="dxa"/>
            <w:vAlign w:val="center"/>
          </w:tcPr>
          <w:p w:rsidR="00FE16B2" w:rsidRPr="00FE16B2" w:rsidRDefault="00FE16B2" w:rsidP="00FE16B2">
            <w:pPr>
              <w:spacing w:after="200" w:line="276" w:lineRule="auto"/>
              <w:rPr>
                <w:rFonts w:ascii="Times New Roman" w:hAnsi="Times New Roman" w:cs="Times New Roman"/>
                <w:bCs/>
              </w:rPr>
            </w:pPr>
            <w:r w:rsidRPr="00FE16B2">
              <w:rPr>
                <w:rFonts w:ascii="Times New Roman" w:hAnsi="Times New Roman" w:cs="Times New Roman"/>
                <w:bCs/>
              </w:rPr>
              <w:t>Merger reserve</w:t>
            </w:r>
          </w:p>
        </w:tc>
        <w:tc>
          <w:tcPr>
            <w:tcW w:w="1417" w:type="dxa"/>
            <w:vAlign w:val="center"/>
          </w:tcPr>
          <w:p w:rsidR="00FE16B2" w:rsidRPr="00FE16B2" w:rsidRDefault="00FE16B2" w:rsidP="00FE16B2">
            <w:pPr>
              <w:tabs>
                <w:tab w:val="decimal" w:pos="1121"/>
                <w:tab w:val="center" w:pos="4513"/>
                <w:tab w:val="right" w:pos="9026"/>
              </w:tabs>
              <w:spacing w:after="200" w:line="276" w:lineRule="auto"/>
              <w:jc w:val="right"/>
              <w:rPr>
                <w:rFonts w:ascii="Times New Roman" w:hAnsi="Times New Roman" w:cs="Times New Roman"/>
                <w:b/>
                <w:bCs/>
              </w:rPr>
            </w:pPr>
            <w:r w:rsidRPr="00FE16B2">
              <w:rPr>
                <w:rFonts w:ascii="Times New Roman" w:hAnsi="Times New Roman" w:cs="Times New Roman"/>
                <w:b/>
                <w:bCs/>
              </w:rPr>
              <w:t>3,564</w:t>
            </w:r>
          </w:p>
        </w:tc>
        <w:tc>
          <w:tcPr>
            <w:tcW w:w="284" w:type="dxa"/>
          </w:tcPr>
          <w:p w:rsidR="00FE16B2" w:rsidRPr="00FE16B2" w:rsidRDefault="00FE16B2" w:rsidP="00FE16B2">
            <w:pPr>
              <w:spacing w:after="120" w:line="322" w:lineRule="auto"/>
              <w:jc w:val="right"/>
              <w:rPr>
                <w:rFonts w:ascii="Times New Roman" w:hAnsi="Times New Roman" w:cs="Times New Roman"/>
                <w:bCs/>
              </w:rPr>
            </w:pPr>
          </w:p>
        </w:tc>
        <w:tc>
          <w:tcPr>
            <w:tcW w:w="1337" w:type="dxa"/>
            <w:vAlign w:val="center"/>
          </w:tcPr>
          <w:p w:rsidR="00FE16B2" w:rsidRPr="00FE16B2" w:rsidRDefault="00FE16B2" w:rsidP="00FE16B2">
            <w:pPr>
              <w:tabs>
                <w:tab w:val="decimal" w:pos="1121"/>
              </w:tabs>
              <w:spacing w:after="200" w:line="276" w:lineRule="auto"/>
              <w:jc w:val="right"/>
              <w:rPr>
                <w:rFonts w:ascii="Times New Roman" w:hAnsi="Times New Roman" w:cs="Times New Roman"/>
                <w:bCs/>
              </w:rPr>
            </w:pPr>
            <w:r w:rsidRPr="00FE16B2">
              <w:rPr>
                <w:rFonts w:ascii="Times New Roman" w:hAnsi="Times New Roman" w:cs="Times New Roman"/>
                <w:bCs/>
              </w:rPr>
              <w:t>3,564</w:t>
            </w:r>
          </w:p>
        </w:tc>
      </w:tr>
      <w:tr w:rsidR="00FE16B2" w:rsidRPr="00FE16B2" w:rsidTr="00FE16B2">
        <w:trPr>
          <w:cantSplit/>
          <w:trHeight w:hRule="exact" w:val="284"/>
        </w:trPr>
        <w:tc>
          <w:tcPr>
            <w:tcW w:w="5353" w:type="dxa"/>
            <w:vAlign w:val="center"/>
          </w:tcPr>
          <w:p w:rsidR="00FE16B2" w:rsidRPr="00FE16B2" w:rsidRDefault="00FE16B2" w:rsidP="00FE16B2">
            <w:pPr>
              <w:spacing w:after="200" w:line="276" w:lineRule="auto"/>
              <w:rPr>
                <w:rFonts w:ascii="Times New Roman" w:hAnsi="Times New Roman" w:cs="Times New Roman"/>
                <w:bCs/>
              </w:rPr>
            </w:pPr>
            <w:r w:rsidRPr="00FE16B2">
              <w:rPr>
                <w:rFonts w:ascii="Times New Roman" w:hAnsi="Times New Roman" w:cs="Times New Roman"/>
                <w:bCs/>
              </w:rPr>
              <w:t>Retained earnings</w:t>
            </w:r>
          </w:p>
        </w:tc>
        <w:tc>
          <w:tcPr>
            <w:tcW w:w="1417" w:type="dxa"/>
            <w:tcBorders>
              <w:bottom w:val="single" w:sz="4" w:space="0" w:color="000000" w:themeColor="text1"/>
            </w:tcBorders>
            <w:vAlign w:val="center"/>
          </w:tcPr>
          <w:p w:rsidR="00FE16B2" w:rsidRPr="00FE16B2" w:rsidRDefault="00FE16B2" w:rsidP="00FE16B2">
            <w:pPr>
              <w:tabs>
                <w:tab w:val="decimal" w:pos="1121"/>
                <w:tab w:val="center" w:pos="4513"/>
                <w:tab w:val="right" w:pos="9026"/>
              </w:tabs>
              <w:spacing w:after="200" w:line="276" w:lineRule="auto"/>
              <w:jc w:val="right"/>
              <w:rPr>
                <w:rFonts w:ascii="Times New Roman" w:hAnsi="Times New Roman" w:cs="Times New Roman"/>
                <w:b/>
                <w:bCs/>
              </w:rPr>
            </w:pPr>
            <w:r w:rsidRPr="00FE16B2">
              <w:rPr>
                <w:rFonts w:ascii="Times New Roman" w:hAnsi="Times New Roman" w:cs="Times New Roman"/>
                <w:b/>
                <w:bCs/>
              </w:rPr>
              <w:t>50,914,592</w:t>
            </w:r>
          </w:p>
        </w:tc>
        <w:tc>
          <w:tcPr>
            <w:tcW w:w="284" w:type="dxa"/>
          </w:tcPr>
          <w:p w:rsidR="00FE16B2" w:rsidRPr="00FE16B2" w:rsidRDefault="00FE16B2" w:rsidP="00FE16B2">
            <w:pPr>
              <w:spacing w:after="120" w:line="322" w:lineRule="auto"/>
              <w:jc w:val="right"/>
              <w:rPr>
                <w:rFonts w:ascii="Times New Roman" w:hAnsi="Times New Roman" w:cs="Times New Roman"/>
                <w:bCs/>
              </w:rPr>
            </w:pPr>
          </w:p>
        </w:tc>
        <w:tc>
          <w:tcPr>
            <w:tcW w:w="1337" w:type="dxa"/>
            <w:tcBorders>
              <w:bottom w:val="single" w:sz="4" w:space="0" w:color="000000" w:themeColor="text1"/>
            </w:tcBorders>
            <w:vAlign w:val="center"/>
          </w:tcPr>
          <w:p w:rsidR="00FE16B2" w:rsidRPr="00FE16B2" w:rsidRDefault="00FE16B2" w:rsidP="00FE16B2">
            <w:pPr>
              <w:tabs>
                <w:tab w:val="decimal" w:pos="1121"/>
              </w:tabs>
              <w:spacing w:after="200" w:line="276" w:lineRule="auto"/>
              <w:jc w:val="right"/>
              <w:rPr>
                <w:rFonts w:ascii="Times New Roman" w:hAnsi="Times New Roman" w:cs="Times New Roman"/>
                <w:bCs/>
              </w:rPr>
            </w:pPr>
            <w:r w:rsidRPr="00FE16B2">
              <w:rPr>
                <w:rFonts w:ascii="Times New Roman" w:hAnsi="Times New Roman" w:cs="Times New Roman"/>
                <w:bCs/>
              </w:rPr>
              <w:t>73,743,002</w:t>
            </w:r>
          </w:p>
          <w:p w:rsidR="00FE16B2" w:rsidRPr="00FE16B2" w:rsidRDefault="00FE16B2" w:rsidP="00FE16B2">
            <w:pPr>
              <w:tabs>
                <w:tab w:val="decimal" w:pos="1121"/>
              </w:tabs>
              <w:spacing w:after="200" w:line="276" w:lineRule="auto"/>
              <w:jc w:val="right"/>
              <w:rPr>
                <w:rFonts w:ascii="Times New Roman" w:hAnsi="Times New Roman" w:cs="Times New Roman"/>
                <w:bCs/>
              </w:rPr>
            </w:pPr>
          </w:p>
        </w:tc>
      </w:tr>
      <w:tr w:rsidR="00FE16B2" w:rsidRPr="00FE16B2" w:rsidTr="00FE16B2">
        <w:trPr>
          <w:cantSplit/>
          <w:trHeight w:hRule="exact" w:val="284"/>
        </w:trPr>
        <w:tc>
          <w:tcPr>
            <w:tcW w:w="5353" w:type="dxa"/>
            <w:vAlign w:val="center"/>
          </w:tcPr>
          <w:p w:rsidR="00FE16B2" w:rsidRPr="00FE16B2" w:rsidRDefault="00FE16B2" w:rsidP="00FE16B2">
            <w:pPr>
              <w:spacing w:after="200" w:line="276" w:lineRule="auto"/>
              <w:rPr>
                <w:rFonts w:ascii="Times New Roman" w:hAnsi="Times New Roman" w:cs="Times New Roman"/>
                <w:b/>
                <w:bCs/>
              </w:rPr>
            </w:pPr>
            <w:r w:rsidRPr="00FE16B2">
              <w:rPr>
                <w:rFonts w:ascii="Times New Roman" w:hAnsi="Times New Roman" w:cs="Times New Roman"/>
                <w:b/>
                <w:bCs/>
              </w:rPr>
              <w:t>Total equity</w:t>
            </w:r>
          </w:p>
        </w:tc>
        <w:tc>
          <w:tcPr>
            <w:tcW w:w="1417" w:type="dxa"/>
            <w:tcBorders>
              <w:top w:val="single" w:sz="4" w:space="0" w:color="000000" w:themeColor="text1"/>
              <w:bottom w:val="single" w:sz="12" w:space="0" w:color="000000" w:themeColor="text1"/>
            </w:tcBorders>
            <w:vAlign w:val="center"/>
          </w:tcPr>
          <w:p w:rsidR="00FE16B2" w:rsidRPr="00FE16B2" w:rsidRDefault="00FE16B2" w:rsidP="00FE16B2">
            <w:pPr>
              <w:tabs>
                <w:tab w:val="decimal" w:pos="1121"/>
              </w:tabs>
              <w:spacing w:after="200" w:line="276" w:lineRule="auto"/>
              <w:jc w:val="right"/>
              <w:rPr>
                <w:rFonts w:ascii="Times New Roman" w:hAnsi="Times New Roman" w:cs="Times New Roman"/>
                <w:b/>
                <w:bCs/>
              </w:rPr>
            </w:pPr>
            <w:r w:rsidRPr="00FE16B2">
              <w:rPr>
                <w:rFonts w:ascii="Times New Roman" w:hAnsi="Times New Roman" w:cs="Times New Roman"/>
                <w:b/>
                <w:bCs/>
              </w:rPr>
              <w:t>51,810,400</w:t>
            </w:r>
          </w:p>
        </w:tc>
        <w:tc>
          <w:tcPr>
            <w:tcW w:w="284" w:type="dxa"/>
          </w:tcPr>
          <w:p w:rsidR="00FE16B2" w:rsidRPr="00FE16B2" w:rsidRDefault="00FE16B2" w:rsidP="00FE16B2">
            <w:pPr>
              <w:spacing w:after="120" w:line="322" w:lineRule="auto"/>
              <w:jc w:val="right"/>
              <w:rPr>
                <w:rFonts w:ascii="Times New Roman" w:hAnsi="Times New Roman" w:cs="Times New Roman"/>
                <w:bCs/>
              </w:rPr>
            </w:pPr>
          </w:p>
        </w:tc>
        <w:tc>
          <w:tcPr>
            <w:tcW w:w="1337" w:type="dxa"/>
            <w:tcBorders>
              <w:top w:val="single" w:sz="4" w:space="0" w:color="000000" w:themeColor="text1"/>
              <w:bottom w:val="single" w:sz="12" w:space="0" w:color="000000" w:themeColor="text1"/>
            </w:tcBorders>
            <w:vAlign w:val="center"/>
          </w:tcPr>
          <w:p w:rsidR="00FE16B2" w:rsidRPr="00FE16B2" w:rsidRDefault="00FE16B2" w:rsidP="00FE16B2">
            <w:pPr>
              <w:tabs>
                <w:tab w:val="decimal" w:pos="1121"/>
              </w:tabs>
              <w:spacing w:after="200" w:line="276" w:lineRule="auto"/>
              <w:jc w:val="right"/>
              <w:rPr>
                <w:rFonts w:ascii="Times New Roman" w:hAnsi="Times New Roman" w:cs="Times New Roman"/>
                <w:bCs/>
              </w:rPr>
            </w:pPr>
            <w:r w:rsidRPr="00FE16B2">
              <w:rPr>
                <w:rFonts w:ascii="Times New Roman" w:hAnsi="Times New Roman" w:cs="Times New Roman"/>
                <w:bCs/>
              </w:rPr>
              <w:t>74,638,810</w:t>
            </w:r>
          </w:p>
        </w:tc>
      </w:tr>
    </w:tbl>
    <w:p w:rsidR="00FE16B2" w:rsidRPr="00FE16B2" w:rsidRDefault="00FE16B2" w:rsidP="00FE16B2">
      <w:pPr>
        <w:rPr>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53"/>
        <w:gridCol w:w="1417"/>
        <w:gridCol w:w="284"/>
        <w:gridCol w:w="1337"/>
      </w:tblGrid>
      <w:tr w:rsidR="00FE16B2" w:rsidRPr="00FE16B2" w:rsidTr="00FE16B2">
        <w:trPr>
          <w:cantSplit/>
          <w:trHeight w:hRule="exact" w:val="284"/>
        </w:trPr>
        <w:tc>
          <w:tcPr>
            <w:tcW w:w="5353" w:type="dxa"/>
            <w:vAlign w:val="center"/>
          </w:tcPr>
          <w:p w:rsidR="00FE16B2" w:rsidRPr="00FE16B2" w:rsidRDefault="00FE16B2" w:rsidP="00FE16B2">
            <w:pPr>
              <w:spacing w:after="200" w:line="276" w:lineRule="auto"/>
              <w:jc w:val="right"/>
              <w:rPr>
                <w:rFonts w:ascii="Times New Roman" w:hAnsi="Times New Roman" w:cs="Times New Roman"/>
                <w:bCs/>
              </w:rPr>
            </w:pPr>
            <w:r w:rsidRPr="00FE16B2">
              <w:rPr>
                <w:rFonts w:ascii="Times New Roman" w:hAnsi="Times New Roman" w:cs="Times New Roman"/>
                <w:bCs/>
              </w:rPr>
              <w:t>Net asset value per share</w:t>
            </w:r>
          </w:p>
        </w:tc>
        <w:tc>
          <w:tcPr>
            <w:tcW w:w="1417" w:type="dxa"/>
            <w:tcBorders>
              <w:bottom w:val="single" w:sz="12" w:space="0" w:color="000000" w:themeColor="text1"/>
            </w:tcBorders>
            <w:vAlign w:val="center"/>
          </w:tcPr>
          <w:p w:rsidR="00FE16B2" w:rsidRPr="00FE16B2" w:rsidRDefault="00FE16B2" w:rsidP="00FE16B2">
            <w:pPr>
              <w:tabs>
                <w:tab w:val="decimal" w:pos="1121"/>
              </w:tabs>
              <w:spacing w:after="200" w:line="276" w:lineRule="auto"/>
              <w:jc w:val="right"/>
              <w:rPr>
                <w:rFonts w:ascii="Times New Roman" w:hAnsi="Times New Roman" w:cs="Times New Roman"/>
                <w:bCs/>
              </w:rPr>
            </w:pPr>
            <w:r w:rsidRPr="00FE16B2">
              <w:rPr>
                <w:rFonts w:ascii="Times New Roman" w:hAnsi="Times New Roman" w:cs="Times New Roman"/>
                <w:bCs/>
              </w:rPr>
              <w:t>480.8 p</w:t>
            </w:r>
          </w:p>
        </w:tc>
        <w:tc>
          <w:tcPr>
            <w:tcW w:w="284" w:type="dxa"/>
          </w:tcPr>
          <w:p w:rsidR="00FE16B2" w:rsidRPr="00FE16B2" w:rsidRDefault="00FE16B2" w:rsidP="00FE16B2">
            <w:pPr>
              <w:spacing w:after="120" w:line="322" w:lineRule="auto"/>
              <w:jc w:val="right"/>
              <w:rPr>
                <w:rFonts w:ascii="Times New Roman" w:hAnsi="Times New Roman" w:cs="Times New Roman"/>
                <w:bCs/>
              </w:rPr>
            </w:pPr>
          </w:p>
        </w:tc>
        <w:tc>
          <w:tcPr>
            <w:tcW w:w="1337" w:type="dxa"/>
            <w:tcBorders>
              <w:bottom w:val="single" w:sz="12" w:space="0" w:color="000000" w:themeColor="text1"/>
            </w:tcBorders>
            <w:vAlign w:val="center"/>
          </w:tcPr>
          <w:p w:rsidR="00FE16B2" w:rsidRPr="00FE16B2" w:rsidRDefault="00FE16B2" w:rsidP="00FE16B2">
            <w:pPr>
              <w:tabs>
                <w:tab w:val="decimal" w:pos="1121"/>
              </w:tabs>
              <w:spacing w:after="200" w:line="276" w:lineRule="auto"/>
              <w:jc w:val="right"/>
              <w:rPr>
                <w:rFonts w:ascii="Times New Roman" w:hAnsi="Times New Roman" w:cs="Times New Roman"/>
                <w:bCs/>
              </w:rPr>
            </w:pPr>
            <w:r w:rsidRPr="00FE16B2">
              <w:rPr>
                <w:rFonts w:ascii="Times New Roman" w:hAnsi="Times New Roman" w:cs="Times New Roman"/>
                <w:bCs/>
              </w:rPr>
              <w:t>692.6 p</w:t>
            </w:r>
          </w:p>
        </w:tc>
      </w:tr>
    </w:tbl>
    <w:p w:rsidR="00FE16B2" w:rsidRPr="00FE16B2" w:rsidRDefault="00FE16B2" w:rsidP="00FE16B2">
      <w:pPr>
        <w:tabs>
          <w:tab w:val="left" w:pos="6424"/>
        </w:tabs>
        <w:rPr>
          <w:bCs/>
          <w:sz w:val="22"/>
          <w:szCs w:val="22"/>
        </w:rPr>
      </w:pPr>
    </w:p>
    <w:p w:rsidR="00FE16B2" w:rsidRPr="00FE16B2" w:rsidRDefault="00FE16B2" w:rsidP="005D74BA">
      <w:pPr>
        <w:tabs>
          <w:tab w:val="left" w:pos="6424"/>
        </w:tabs>
        <w:ind w:right="679"/>
        <w:rPr>
          <w:bCs/>
          <w:sz w:val="22"/>
          <w:szCs w:val="22"/>
        </w:rPr>
      </w:pPr>
      <w:r w:rsidRPr="00FE16B2">
        <w:rPr>
          <w:bCs/>
          <w:sz w:val="22"/>
          <w:szCs w:val="22"/>
        </w:rPr>
        <w:t xml:space="preserve">The Board of Directors approved and authorised the </w:t>
      </w:r>
      <w:r w:rsidRPr="00FE16B2">
        <w:rPr>
          <w:sz w:val="22"/>
          <w:szCs w:val="22"/>
        </w:rPr>
        <w:t>Group</w:t>
      </w:r>
      <w:r w:rsidRPr="00FE16B2">
        <w:rPr>
          <w:bCs/>
          <w:sz w:val="22"/>
          <w:szCs w:val="22"/>
        </w:rPr>
        <w:t>’s financial statements for issue on 18 December 2009.</w:t>
      </w:r>
      <w:r>
        <w:rPr>
          <w:bCs/>
          <w:sz w:val="22"/>
          <w:szCs w:val="22"/>
        </w:rPr>
        <w:t xml:space="preserve">  </w:t>
      </w:r>
      <w:proofErr w:type="gramStart"/>
      <w:r w:rsidRPr="00FE16B2">
        <w:rPr>
          <w:bCs/>
          <w:sz w:val="22"/>
          <w:szCs w:val="22"/>
        </w:rPr>
        <w:t>Signed on behalf of the Board by: CRW Parish (Chairman) and JA Wild (Director).</w:t>
      </w:r>
      <w:proofErr w:type="gramEnd"/>
    </w:p>
    <w:p w:rsidR="00FE16B2" w:rsidRPr="00FE16B2" w:rsidRDefault="00FE16B2" w:rsidP="00FE16B2">
      <w:pPr>
        <w:tabs>
          <w:tab w:val="left" w:pos="6424"/>
        </w:tabs>
        <w:spacing w:before="120"/>
        <w:rPr>
          <w:bCs/>
          <w:sz w:val="22"/>
          <w:szCs w:val="22"/>
        </w:rPr>
      </w:pPr>
      <w:r w:rsidRPr="00FE16B2">
        <w:rPr>
          <w:bCs/>
          <w:sz w:val="22"/>
          <w:szCs w:val="22"/>
        </w:rPr>
        <w:t>The accompanying notes form an integral part of the financial statements.</w:t>
      </w:r>
    </w:p>
    <w:p w:rsidR="00FE16B2" w:rsidRPr="00FE16B2" w:rsidRDefault="00FE16B2" w:rsidP="00FE16B2">
      <w:pPr>
        <w:rPr>
          <w:sz w:val="22"/>
          <w:szCs w:val="22"/>
        </w:rPr>
      </w:pPr>
      <w:r w:rsidRPr="00FE16B2">
        <w:rPr>
          <w:bCs/>
          <w:sz w:val="22"/>
          <w:szCs w:val="22"/>
          <w:vertAlign w:val="superscript"/>
        </w:rPr>
        <w:t xml:space="preserve">* </w:t>
      </w:r>
      <w:r w:rsidRPr="00FE16B2">
        <w:rPr>
          <w:bCs/>
          <w:sz w:val="22"/>
          <w:szCs w:val="22"/>
        </w:rPr>
        <w:t>Restated in accordance with IAS8 Accounting Policies, Changes in Accounting Estimates and Errors.  The financial impact of the restatement is set out in Note 23</w:t>
      </w:r>
      <w:r>
        <w:rPr>
          <w:bCs/>
          <w:sz w:val="22"/>
          <w:szCs w:val="22"/>
        </w:rPr>
        <w:t xml:space="preserve"> of the Annual Accounts </w:t>
      </w:r>
      <w:r w:rsidR="00E21100">
        <w:rPr>
          <w:bCs/>
          <w:sz w:val="22"/>
          <w:szCs w:val="22"/>
        </w:rPr>
        <w:t xml:space="preserve">which are available </w:t>
      </w:r>
      <w:r>
        <w:rPr>
          <w:bCs/>
          <w:sz w:val="22"/>
          <w:szCs w:val="22"/>
        </w:rPr>
        <w:t>at www.eloro.co.uk</w:t>
      </w:r>
    </w:p>
    <w:p w:rsidR="00FE16B2" w:rsidRPr="00FE16B2" w:rsidRDefault="00FE16B2" w:rsidP="00FE16B2">
      <w:pPr>
        <w:rPr>
          <w:sz w:val="22"/>
          <w:szCs w:val="22"/>
        </w:rPr>
      </w:pPr>
      <w:r w:rsidRPr="00FE16B2">
        <w:rPr>
          <w:sz w:val="22"/>
          <w:szCs w:val="22"/>
        </w:rPr>
        <w:br w:type="page"/>
      </w:r>
    </w:p>
    <w:p w:rsidR="00FE16B2" w:rsidRPr="00FE16B2" w:rsidRDefault="00FE16B2" w:rsidP="00FE16B2">
      <w:pPr>
        <w:ind w:left="-142"/>
        <w:rPr>
          <w:b/>
          <w:bCs/>
          <w:sz w:val="22"/>
          <w:szCs w:val="22"/>
        </w:rPr>
      </w:pPr>
      <w:r>
        <w:rPr>
          <w:b/>
          <w:bCs/>
          <w:sz w:val="22"/>
          <w:szCs w:val="22"/>
        </w:rPr>
        <w:lastRenderedPageBreak/>
        <w:t>CONSOLIDATED CASH FLOW STATEMENT</w:t>
      </w:r>
    </w:p>
    <w:p w:rsidR="00FE16B2" w:rsidRPr="00FE16B2" w:rsidRDefault="00FE16B2" w:rsidP="00FE16B2">
      <w:pPr>
        <w:spacing w:line="312" w:lineRule="auto"/>
        <w:ind w:left="-142"/>
        <w:rPr>
          <w:spacing w:val="2"/>
          <w:sz w:val="18"/>
          <w:szCs w:val="18"/>
        </w:rPr>
      </w:pPr>
      <w:r w:rsidRPr="00FE16B2">
        <w:rPr>
          <w:spacing w:val="2"/>
          <w:sz w:val="18"/>
          <w:szCs w:val="18"/>
        </w:rPr>
        <w:t>For the year ended 30 June 2009</w:t>
      </w:r>
    </w:p>
    <w:tbl>
      <w:tblPr>
        <w:tblW w:w="9073" w:type="dxa"/>
        <w:tblInd w:w="-176" w:type="dxa"/>
        <w:tblLook w:val="04A0"/>
      </w:tblPr>
      <w:tblGrid>
        <w:gridCol w:w="5121"/>
        <w:gridCol w:w="2000"/>
        <w:gridCol w:w="277"/>
        <w:gridCol w:w="1675"/>
      </w:tblGrid>
      <w:tr w:rsidR="005D74BA" w:rsidRPr="00FE16B2" w:rsidTr="005D74BA">
        <w:trPr>
          <w:trHeight w:hRule="exact" w:val="301"/>
        </w:trPr>
        <w:tc>
          <w:tcPr>
            <w:tcW w:w="5121" w:type="dxa"/>
            <w:tcBorders>
              <w:top w:val="nil"/>
              <w:left w:val="nil"/>
              <w:bottom w:val="nil"/>
              <w:right w:val="nil"/>
            </w:tcBorders>
            <w:shd w:val="clear" w:color="auto" w:fill="auto"/>
            <w:noWrap/>
            <w:vAlign w:val="bottom"/>
            <w:hideMark/>
          </w:tcPr>
          <w:p w:rsidR="005D74BA" w:rsidRPr="00FE16B2" w:rsidRDefault="005D74BA" w:rsidP="00FE16B2">
            <w:pPr>
              <w:rPr>
                <w:sz w:val="22"/>
                <w:szCs w:val="22"/>
                <w:lang w:eastAsia="en-GB"/>
              </w:rPr>
            </w:pPr>
          </w:p>
        </w:tc>
        <w:tc>
          <w:tcPr>
            <w:tcW w:w="2000" w:type="dxa"/>
            <w:tcBorders>
              <w:top w:val="nil"/>
              <w:left w:val="nil"/>
              <w:bottom w:val="nil"/>
              <w:right w:val="nil"/>
            </w:tcBorders>
            <w:shd w:val="clear" w:color="auto" w:fill="auto"/>
            <w:noWrap/>
            <w:vAlign w:val="bottom"/>
            <w:hideMark/>
          </w:tcPr>
          <w:p w:rsidR="005D74BA" w:rsidRPr="00FE16B2" w:rsidRDefault="005D74BA" w:rsidP="00FE16B2">
            <w:pPr>
              <w:jc w:val="right"/>
              <w:rPr>
                <w:b/>
                <w:bCs/>
                <w:sz w:val="22"/>
                <w:szCs w:val="22"/>
                <w:lang w:eastAsia="en-GB"/>
              </w:rPr>
            </w:pPr>
          </w:p>
        </w:tc>
        <w:tc>
          <w:tcPr>
            <w:tcW w:w="277" w:type="dxa"/>
            <w:tcBorders>
              <w:top w:val="nil"/>
              <w:left w:val="nil"/>
              <w:bottom w:val="nil"/>
              <w:right w:val="nil"/>
            </w:tcBorders>
            <w:shd w:val="clear" w:color="auto" w:fill="auto"/>
            <w:noWrap/>
            <w:vAlign w:val="bottom"/>
            <w:hideMark/>
          </w:tcPr>
          <w:p w:rsidR="005D74BA" w:rsidRPr="00FE16B2" w:rsidRDefault="005D74BA" w:rsidP="00FE16B2">
            <w:pPr>
              <w:rPr>
                <w:sz w:val="22"/>
                <w:szCs w:val="22"/>
                <w:lang w:eastAsia="en-GB"/>
              </w:rPr>
            </w:pPr>
          </w:p>
        </w:tc>
        <w:tc>
          <w:tcPr>
            <w:tcW w:w="1675" w:type="dxa"/>
            <w:tcBorders>
              <w:top w:val="nil"/>
              <w:left w:val="nil"/>
              <w:bottom w:val="nil"/>
              <w:right w:val="nil"/>
            </w:tcBorders>
            <w:shd w:val="clear" w:color="auto" w:fill="auto"/>
            <w:noWrap/>
            <w:vAlign w:val="bottom"/>
            <w:hideMark/>
          </w:tcPr>
          <w:p w:rsidR="005D74BA" w:rsidRPr="00FE16B2" w:rsidRDefault="005D74BA" w:rsidP="00FE16B2">
            <w:pPr>
              <w:jc w:val="right"/>
              <w:rPr>
                <w:b/>
                <w:sz w:val="22"/>
                <w:szCs w:val="22"/>
                <w:lang w:eastAsia="en-GB"/>
              </w:rPr>
            </w:pPr>
            <w:r w:rsidRPr="00FE16B2">
              <w:rPr>
                <w:bCs/>
                <w:sz w:val="22"/>
                <w:szCs w:val="22"/>
                <w:vertAlign w:val="superscript"/>
              </w:rPr>
              <w:t xml:space="preserve">* </w:t>
            </w:r>
            <w:r w:rsidRPr="005D74BA">
              <w:rPr>
                <w:b/>
                <w:sz w:val="18"/>
                <w:szCs w:val="18"/>
                <w:lang w:eastAsia="en-GB"/>
              </w:rPr>
              <w:t>Restated</w:t>
            </w:r>
          </w:p>
          <w:p w:rsidR="005D74BA" w:rsidRPr="00FE16B2" w:rsidRDefault="005D74BA" w:rsidP="00FE16B2">
            <w:pPr>
              <w:jc w:val="right"/>
              <w:rPr>
                <w:sz w:val="22"/>
                <w:szCs w:val="22"/>
                <w:lang w:eastAsia="en-GB"/>
              </w:rPr>
            </w:pPr>
          </w:p>
        </w:tc>
      </w:tr>
      <w:tr w:rsidR="005D74BA" w:rsidRPr="00FE16B2" w:rsidTr="005D74BA">
        <w:trPr>
          <w:trHeight w:val="300"/>
        </w:trPr>
        <w:tc>
          <w:tcPr>
            <w:tcW w:w="5121" w:type="dxa"/>
            <w:tcBorders>
              <w:top w:val="nil"/>
              <w:left w:val="nil"/>
              <w:bottom w:val="nil"/>
              <w:right w:val="nil"/>
            </w:tcBorders>
            <w:shd w:val="clear" w:color="auto" w:fill="auto"/>
            <w:noWrap/>
            <w:vAlign w:val="bottom"/>
            <w:hideMark/>
          </w:tcPr>
          <w:p w:rsidR="005D74BA" w:rsidRPr="00FE16B2" w:rsidRDefault="005D74BA" w:rsidP="00FE16B2">
            <w:pPr>
              <w:rPr>
                <w:sz w:val="22"/>
                <w:szCs w:val="22"/>
                <w:lang w:eastAsia="en-GB"/>
              </w:rPr>
            </w:pPr>
          </w:p>
        </w:tc>
        <w:tc>
          <w:tcPr>
            <w:tcW w:w="2000" w:type="dxa"/>
            <w:tcBorders>
              <w:top w:val="nil"/>
              <w:left w:val="nil"/>
              <w:bottom w:val="nil"/>
              <w:right w:val="nil"/>
            </w:tcBorders>
            <w:shd w:val="clear" w:color="auto" w:fill="auto"/>
            <w:noWrap/>
            <w:vAlign w:val="bottom"/>
            <w:hideMark/>
          </w:tcPr>
          <w:p w:rsidR="005D74BA" w:rsidRPr="00FE16B2" w:rsidRDefault="005D74BA" w:rsidP="00FE16B2">
            <w:pPr>
              <w:jc w:val="right"/>
              <w:rPr>
                <w:b/>
                <w:bCs/>
                <w:sz w:val="22"/>
                <w:szCs w:val="22"/>
                <w:lang w:eastAsia="en-GB"/>
              </w:rPr>
            </w:pPr>
            <w:r w:rsidRPr="00FE16B2">
              <w:rPr>
                <w:b/>
                <w:bCs/>
                <w:sz w:val="22"/>
                <w:szCs w:val="22"/>
                <w:lang w:eastAsia="en-GB"/>
              </w:rPr>
              <w:t>30 June 2009</w:t>
            </w:r>
          </w:p>
        </w:tc>
        <w:tc>
          <w:tcPr>
            <w:tcW w:w="277" w:type="dxa"/>
            <w:tcBorders>
              <w:top w:val="nil"/>
              <w:left w:val="nil"/>
              <w:bottom w:val="nil"/>
              <w:right w:val="nil"/>
            </w:tcBorders>
            <w:shd w:val="clear" w:color="auto" w:fill="auto"/>
            <w:noWrap/>
            <w:vAlign w:val="bottom"/>
            <w:hideMark/>
          </w:tcPr>
          <w:p w:rsidR="005D74BA" w:rsidRPr="00FE16B2" w:rsidRDefault="005D74BA" w:rsidP="00FE16B2">
            <w:pPr>
              <w:rPr>
                <w:sz w:val="22"/>
                <w:szCs w:val="22"/>
                <w:lang w:eastAsia="en-GB"/>
              </w:rPr>
            </w:pPr>
          </w:p>
        </w:tc>
        <w:tc>
          <w:tcPr>
            <w:tcW w:w="1675" w:type="dxa"/>
            <w:tcBorders>
              <w:top w:val="nil"/>
              <w:left w:val="nil"/>
              <w:bottom w:val="nil"/>
              <w:right w:val="nil"/>
            </w:tcBorders>
            <w:shd w:val="clear" w:color="auto" w:fill="auto"/>
            <w:noWrap/>
            <w:vAlign w:val="bottom"/>
            <w:hideMark/>
          </w:tcPr>
          <w:p w:rsidR="005D74BA" w:rsidRPr="00FE16B2" w:rsidRDefault="005D74BA" w:rsidP="00FE16B2">
            <w:pPr>
              <w:jc w:val="right"/>
              <w:rPr>
                <w:sz w:val="22"/>
                <w:szCs w:val="22"/>
                <w:lang w:eastAsia="en-GB"/>
              </w:rPr>
            </w:pPr>
            <w:r w:rsidRPr="00FE16B2">
              <w:rPr>
                <w:sz w:val="22"/>
                <w:szCs w:val="22"/>
                <w:lang w:eastAsia="en-GB"/>
              </w:rPr>
              <w:t>30 June 2008</w:t>
            </w:r>
          </w:p>
        </w:tc>
      </w:tr>
      <w:tr w:rsidR="005D74BA" w:rsidRPr="00FE16B2" w:rsidTr="005D74BA">
        <w:trPr>
          <w:trHeight w:val="300"/>
        </w:trPr>
        <w:tc>
          <w:tcPr>
            <w:tcW w:w="5121" w:type="dxa"/>
            <w:tcBorders>
              <w:top w:val="nil"/>
              <w:left w:val="nil"/>
              <w:bottom w:val="nil"/>
              <w:right w:val="nil"/>
            </w:tcBorders>
            <w:shd w:val="clear" w:color="auto" w:fill="auto"/>
            <w:noWrap/>
            <w:vAlign w:val="bottom"/>
            <w:hideMark/>
          </w:tcPr>
          <w:p w:rsidR="005D74BA" w:rsidRPr="00FE16B2" w:rsidRDefault="005D74BA" w:rsidP="00FE16B2">
            <w:pPr>
              <w:rPr>
                <w:sz w:val="22"/>
                <w:szCs w:val="22"/>
                <w:lang w:eastAsia="en-GB"/>
              </w:rPr>
            </w:pPr>
          </w:p>
        </w:tc>
        <w:tc>
          <w:tcPr>
            <w:tcW w:w="2000" w:type="dxa"/>
            <w:tcBorders>
              <w:top w:val="nil"/>
              <w:left w:val="nil"/>
              <w:bottom w:val="nil"/>
              <w:right w:val="nil"/>
            </w:tcBorders>
            <w:shd w:val="clear" w:color="auto" w:fill="auto"/>
            <w:noWrap/>
            <w:vAlign w:val="bottom"/>
            <w:hideMark/>
          </w:tcPr>
          <w:p w:rsidR="005D74BA" w:rsidRPr="00FE16B2" w:rsidRDefault="005D74BA" w:rsidP="00FE16B2">
            <w:pPr>
              <w:jc w:val="right"/>
              <w:rPr>
                <w:b/>
                <w:bCs/>
                <w:sz w:val="22"/>
                <w:szCs w:val="22"/>
                <w:lang w:eastAsia="en-GB"/>
              </w:rPr>
            </w:pPr>
            <w:r w:rsidRPr="00FE16B2">
              <w:rPr>
                <w:b/>
                <w:bCs/>
                <w:sz w:val="22"/>
                <w:szCs w:val="22"/>
                <w:lang w:eastAsia="en-GB"/>
              </w:rPr>
              <w:t xml:space="preserve">£   </w:t>
            </w:r>
          </w:p>
        </w:tc>
        <w:tc>
          <w:tcPr>
            <w:tcW w:w="277" w:type="dxa"/>
            <w:tcBorders>
              <w:top w:val="nil"/>
              <w:left w:val="nil"/>
              <w:bottom w:val="nil"/>
              <w:right w:val="nil"/>
            </w:tcBorders>
            <w:shd w:val="clear" w:color="auto" w:fill="auto"/>
            <w:noWrap/>
            <w:vAlign w:val="bottom"/>
            <w:hideMark/>
          </w:tcPr>
          <w:p w:rsidR="005D74BA" w:rsidRPr="00FE16B2" w:rsidRDefault="005D74BA" w:rsidP="00FE16B2">
            <w:pPr>
              <w:rPr>
                <w:sz w:val="22"/>
                <w:szCs w:val="22"/>
                <w:lang w:eastAsia="en-GB"/>
              </w:rPr>
            </w:pPr>
          </w:p>
        </w:tc>
        <w:tc>
          <w:tcPr>
            <w:tcW w:w="1675" w:type="dxa"/>
            <w:tcBorders>
              <w:top w:val="nil"/>
              <w:left w:val="nil"/>
              <w:bottom w:val="nil"/>
              <w:right w:val="nil"/>
            </w:tcBorders>
            <w:shd w:val="clear" w:color="auto" w:fill="auto"/>
            <w:noWrap/>
            <w:vAlign w:val="bottom"/>
            <w:hideMark/>
          </w:tcPr>
          <w:p w:rsidR="005D74BA" w:rsidRPr="00FE16B2" w:rsidRDefault="005D74BA" w:rsidP="00FE16B2">
            <w:pPr>
              <w:jc w:val="right"/>
              <w:rPr>
                <w:sz w:val="22"/>
                <w:szCs w:val="22"/>
                <w:lang w:eastAsia="en-GB"/>
              </w:rPr>
            </w:pPr>
            <w:r w:rsidRPr="00FE16B2">
              <w:rPr>
                <w:sz w:val="22"/>
                <w:szCs w:val="22"/>
                <w:lang w:eastAsia="en-GB"/>
              </w:rPr>
              <w:t xml:space="preserve">£   </w:t>
            </w:r>
          </w:p>
        </w:tc>
      </w:tr>
      <w:tr w:rsidR="005D74BA" w:rsidRPr="00FE16B2" w:rsidTr="005D74BA">
        <w:trPr>
          <w:trHeight w:val="300"/>
        </w:trPr>
        <w:tc>
          <w:tcPr>
            <w:tcW w:w="5121" w:type="dxa"/>
            <w:tcBorders>
              <w:top w:val="nil"/>
              <w:left w:val="nil"/>
              <w:bottom w:val="nil"/>
              <w:right w:val="nil"/>
            </w:tcBorders>
            <w:shd w:val="clear" w:color="auto" w:fill="auto"/>
            <w:noWrap/>
            <w:vAlign w:val="bottom"/>
            <w:hideMark/>
          </w:tcPr>
          <w:p w:rsidR="005D74BA" w:rsidRPr="00FE16B2" w:rsidRDefault="005D74BA" w:rsidP="00FE16B2">
            <w:pPr>
              <w:rPr>
                <w:b/>
                <w:bCs/>
                <w:sz w:val="22"/>
                <w:szCs w:val="22"/>
                <w:lang w:eastAsia="en-GB"/>
              </w:rPr>
            </w:pPr>
            <w:r w:rsidRPr="00FE16B2">
              <w:rPr>
                <w:b/>
                <w:bCs/>
                <w:sz w:val="22"/>
                <w:szCs w:val="22"/>
                <w:lang w:eastAsia="en-GB"/>
              </w:rPr>
              <w:t>Operating activities</w:t>
            </w:r>
          </w:p>
        </w:tc>
        <w:tc>
          <w:tcPr>
            <w:tcW w:w="2000" w:type="dxa"/>
            <w:tcBorders>
              <w:top w:val="nil"/>
              <w:left w:val="nil"/>
              <w:bottom w:val="nil"/>
              <w:right w:val="nil"/>
            </w:tcBorders>
            <w:shd w:val="clear" w:color="auto" w:fill="auto"/>
            <w:noWrap/>
            <w:vAlign w:val="bottom"/>
            <w:hideMark/>
          </w:tcPr>
          <w:p w:rsidR="005D74BA" w:rsidRPr="00FE16B2" w:rsidRDefault="005D74BA" w:rsidP="00FE16B2">
            <w:pPr>
              <w:rPr>
                <w:b/>
                <w:bCs/>
                <w:sz w:val="22"/>
                <w:szCs w:val="22"/>
                <w:lang w:eastAsia="en-GB"/>
              </w:rPr>
            </w:pPr>
          </w:p>
        </w:tc>
        <w:tc>
          <w:tcPr>
            <w:tcW w:w="277" w:type="dxa"/>
            <w:tcBorders>
              <w:top w:val="nil"/>
              <w:left w:val="nil"/>
              <w:bottom w:val="nil"/>
              <w:right w:val="nil"/>
            </w:tcBorders>
            <w:shd w:val="clear" w:color="auto" w:fill="auto"/>
            <w:noWrap/>
            <w:vAlign w:val="bottom"/>
            <w:hideMark/>
          </w:tcPr>
          <w:p w:rsidR="005D74BA" w:rsidRPr="00FE16B2" w:rsidRDefault="005D74BA" w:rsidP="00FE16B2">
            <w:pPr>
              <w:rPr>
                <w:sz w:val="22"/>
                <w:szCs w:val="22"/>
                <w:lang w:eastAsia="en-GB"/>
              </w:rPr>
            </w:pPr>
          </w:p>
        </w:tc>
        <w:tc>
          <w:tcPr>
            <w:tcW w:w="1675" w:type="dxa"/>
            <w:tcBorders>
              <w:top w:val="nil"/>
              <w:left w:val="nil"/>
              <w:bottom w:val="nil"/>
              <w:right w:val="nil"/>
            </w:tcBorders>
            <w:shd w:val="clear" w:color="auto" w:fill="auto"/>
            <w:noWrap/>
            <w:vAlign w:val="bottom"/>
            <w:hideMark/>
          </w:tcPr>
          <w:p w:rsidR="005D74BA" w:rsidRPr="00FE16B2" w:rsidRDefault="005D74BA" w:rsidP="00FE16B2">
            <w:pPr>
              <w:rPr>
                <w:sz w:val="22"/>
                <w:szCs w:val="22"/>
                <w:lang w:eastAsia="en-GB"/>
              </w:rPr>
            </w:pPr>
          </w:p>
        </w:tc>
      </w:tr>
      <w:tr w:rsidR="005D74BA" w:rsidRPr="00FE16B2" w:rsidTr="005D74BA">
        <w:trPr>
          <w:trHeight w:val="300"/>
        </w:trPr>
        <w:tc>
          <w:tcPr>
            <w:tcW w:w="5121" w:type="dxa"/>
            <w:tcBorders>
              <w:top w:val="nil"/>
              <w:left w:val="nil"/>
              <w:bottom w:val="nil"/>
              <w:right w:val="nil"/>
            </w:tcBorders>
            <w:shd w:val="clear" w:color="auto" w:fill="auto"/>
            <w:noWrap/>
            <w:vAlign w:val="center"/>
            <w:hideMark/>
          </w:tcPr>
          <w:p w:rsidR="005D74BA" w:rsidRPr="00FE16B2" w:rsidRDefault="005D74BA" w:rsidP="001D0B57">
            <w:pPr>
              <w:rPr>
                <w:sz w:val="22"/>
                <w:szCs w:val="22"/>
                <w:lang w:eastAsia="en-GB"/>
              </w:rPr>
            </w:pPr>
            <w:r w:rsidRPr="00FE16B2">
              <w:rPr>
                <w:sz w:val="22"/>
                <w:szCs w:val="22"/>
                <w:lang w:eastAsia="en-GB"/>
              </w:rPr>
              <w:t>Ne</w:t>
            </w:r>
            <w:r w:rsidR="001D0B57">
              <w:rPr>
                <w:sz w:val="22"/>
                <w:szCs w:val="22"/>
                <w:lang w:eastAsia="en-GB"/>
              </w:rPr>
              <w:t xml:space="preserve">t </w:t>
            </w:r>
            <w:r w:rsidRPr="00FE16B2">
              <w:rPr>
                <w:sz w:val="22"/>
                <w:szCs w:val="22"/>
                <w:lang w:eastAsia="en-GB"/>
              </w:rPr>
              <w:t>loss from operating activities</w:t>
            </w:r>
          </w:p>
        </w:tc>
        <w:tc>
          <w:tcPr>
            <w:tcW w:w="2000" w:type="dxa"/>
            <w:tcBorders>
              <w:top w:val="nil"/>
              <w:left w:val="nil"/>
              <w:bottom w:val="nil"/>
              <w:right w:val="nil"/>
            </w:tcBorders>
            <w:shd w:val="clear" w:color="auto" w:fill="auto"/>
            <w:noWrap/>
            <w:vAlign w:val="center"/>
            <w:hideMark/>
          </w:tcPr>
          <w:p w:rsidR="005D74BA" w:rsidRPr="00FE16B2" w:rsidRDefault="005D74BA" w:rsidP="00FE16B2">
            <w:pPr>
              <w:jc w:val="right"/>
              <w:rPr>
                <w:b/>
                <w:bCs/>
                <w:sz w:val="22"/>
                <w:szCs w:val="22"/>
                <w:lang w:eastAsia="en-GB"/>
              </w:rPr>
            </w:pPr>
            <w:r w:rsidRPr="00FE16B2">
              <w:rPr>
                <w:b/>
                <w:bCs/>
                <w:sz w:val="22"/>
                <w:szCs w:val="22"/>
                <w:lang w:eastAsia="en-GB"/>
              </w:rPr>
              <w:t xml:space="preserve">(30,381,174)  </w:t>
            </w:r>
          </w:p>
        </w:tc>
        <w:tc>
          <w:tcPr>
            <w:tcW w:w="277" w:type="dxa"/>
            <w:tcBorders>
              <w:top w:val="nil"/>
              <w:left w:val="nil"/>
              <w:bottom w:val="nil"/>
              <w:right w:val="nil"/>
            </w:tcBorders>
            <w:shd w:val="clear" w:color="auto" w:fill="auto"/>
            <w:noWrap/>
            <w:vAlign w:val="center"/>
            <w:hideMark/>
          </w:tcPr>
          <w:p w:rsidR="005D74BA" w:rsidRPr="00FE16B2" w:rsidRDefault="005D74BA" w:rsidP="00FE16B2">
            <w:pPr>
              <w:rPr>
                <w:b/>
                <w:bCs/>
                <w:sz w:val="22"/>
                <w:szCs w:val="22"/>
                <w:lang w:eastAsia="en-GB"/>
              </w:rPr>
            </w:pPr>
          </w:p>
        </w:tc>
        <w:tc>
          <w:tcPr>
            <w:tcW w:w="1675" w:type="dxa"/>
            <w:tcBorders>
              <w:top w:val="nil"/>
              <w:left w:val="nil"/>
              <w:bottom w:val="nil"/>
              <w:right w:val="nil"/>
            </w:tcBorders>
            <w:shd w:val="clear" w:color="auto" w:fill="auto"/>
            <w:noWrap/>
            <w:vAlign w:val="center"/>
            <w:hideMark/>
          </w:tcPr>
          <w:p w:rsidR="005D74BA" w:rsidRPr="00FE16B2" w:rsidRDefault="001D0B57" w:rsidP="00FE16B2">
            <w:pPr>
              <w:jc w:val="right"/>
              <w:rPr>
                <w:sz w:val="22"/>
                <w:szCs w:val="22"/>
                <w:lang w:eastAsia="en-GB"/>
              </w:rPr>
            </w:pPr>
            <w:r>
              <w:rPr>
                <w:sz w:val="22"/>
                <w:szCs w:val="22"/>
                <w:lang w:eastAsia="en-GB"/>
              </w:rPr>
              <w:t>(</w:t>
            </w:r>
            <w:r w:rsidR="005D74BA" w:rsidRPr="00FE16B2">
              <w:rPr>
                <w:sz w:val="22"/>
                <w:szCs w:val="22"/>
                <w:lang w:eastAsia="en-GB"/>
              </w:rPr>
              <w:t>543,872</w:t>
            </w:r>
            <w:r>
              <w:rPr>
                <w:sz w:val="22"/>
                <w:szCs w:val="22"/>
                <w:lang w:eastAsia="en-GB"/>
              </w:rPr>
              <w:t>)</w:t>
            </w:r>
            <w:r w:rsidR="005D74BA" w:rsidRPr="00FE16B2">
              <w:rPr>
                <w:sz w:val="22"/>
                <w:szCs w:val="22"/>
                <w:lang w:eastAsia="en-GB"/>
              </w:rPr>
              <w:t xml:space="preserve"> </w:t>
            </w:r>
          </w:p>
        </w:tc>
      </w:tr>
      <w:tr w:rsidR="005D74BA" w:rsidRPr="00FE16B2" w:rsidTr="005D74BA">
        <w:trPr>
          <w:trHeight w:val="300"/>
        </w:trPr>
        <w:tc>
          <w:tcPr>
            <w:tcW w:w="5121"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r w:rsidRPr="00FE16B2">
              <w:rPr>
                <w:sz w:val="22"/>
                <w:szCs w:val="22"/>
                <w:lang w:eastAsia="en-GB"/>
              </w:rPr>
              <w:t>Depreciation</w:t>
            </w:r>
          </w:p>
        </w:tc>
        <w:tc>
          <w:tcPr>
            <w:tcW w:w="2000" w:type="dxa"/>
            <w:tcBorders>
              <w:top w:val="nil"/>
              <w:left w:val="nil"/>
              <w:bottom w:val="nil"/>
              <w:right w:val="nil"/>
            </w:tcBorders>
            <w:shd w:val="clear" w:color="auto" w:fill="auto"/>
            <w:noWrap/>
            <w:vAlign w:val="center"/>
            <w:hideMark/>
          </w:tcPr>
          <w:p w:rsidR="005D74BA" w:rsidRPr="00FE16B2" w:rsidRDefault="005D74BA" w:rsidP="00FE16B2">
            <w:pPr>
              <w:jc w:val="right"/>
              <w:rPr>
                <w:b/>
                <w:bCs/>
                <w:sz w:val="22"/>
                <w:szCs w:val="22"/>
                <w:lang w:eastAsia="en-GB"/>
              </w:rPr>
            </w:pPr>
            <w:r w:rsidRPr="00FE16B2">
              <w:rPr>
                <w:b/>
                <w:bCs/>
                <w:sz w:val="22"/>
                <w:szCs w:val="22"/>
                <w:lang w:eastAsia="en-GB"/>
              </w:rPr>
              <w:t xml:space="preserve">22,548   </w:t>
            </w:r>
          </w:p>
        </w:tc>
        <w:tc>
          <w:tcPr>
            <w:tcW w:w="277" w:type="dxa"/>
            <w:tcBorders>
              <w:top w:val="nil"/>
              <w:left w:val="nil"/>
              <w:bottom w:val="nil"/>
              <w:right w:val="nil"/>
            </w:tcBorders>
            <w:shd w:val="clear" w:color="auto" w:fill="auto"/>
            <w:noWrap/>
            <w:vAlign w:val="center"/>
            <w:hideMark/>
          </w:tcPr>
          <w:p w:rsidR="005D74BA" w:rsidRPr="00FE16B2" w:rsidRDefault="005D74BA" w:rsidP="00FE16B2">
            <w:pPr>
              <w:rPr>
                <w:b/>
                <w:bCs/>
                <w:sz w:val="22"/>
                <w:szCs w:val="22"/>
                <w:lang w:eastAsia="en-GB"/>
              </w:rPr>
            </w:pPr>
          </w:p>
        </w:tc>
        <w:tc>
          <w:tcPr>
            <w:tcW w:w="1675" w:type="dxa"/>
            <w:tcBorders>
              <w:top w:val="nil"/>
              <w:left w:val="nil"/>
              <w:bottom w:val="nil"/>
              <w:right w:val="nil"/>
            </w:tcBorders>
            <w:shd w:val="clear" w:color="auto" w:fill="auto"/>
            <w:noWrap/>
            <w:vAlign w:val="center"/>
            <w:hideMark/>
          </w:tcPr>
          <w:p w:rsidR="005D74BA" w:rsidRPr="00FE16B2" w:rsidRDefault="005D74BA" w:rsidP="00FE16B2">
            <w:pPr>
              <w:jc w:val="right"/>
              <w:rPr>
                <w:sz w:val="22"/>
                <w:szCs w:val="22"/>
                <w:lang w:eastAsia="en-GB"/>
              </w:rPr>
            </w:pPr>
            <w:r w:rsidRPr="00FE16B2">
              <w:rPr>
                <w:sz w:val="22"/>
                <w:szCs w:val="22"/>
                <w:lang w:eastAsia="en-GB"/>
              </w:rPr>
              <w:t xml:space="preserve">19,704   </w:t>
            </w:r>
          </w:p>
        </w:tc>
      </w:tr>
      <w:tr w:rsidR="005D74BA" w:rsidRPr="00FE16B2" w:rsidTr="005D74BA">
        <w:trPr>
          <w:trHeight w:val="300"/>
        </w:trPr>
        <w:tc>
          <w:tcPr>
            <w:tcW w:w="5121"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r w:rsidRPr="00FE16B2">
              <w:rPr>
                <w:sz w:val="22"/>
                <w:szCs w:val="22"/>
                <w:lang w:eastAsia="en-GB"/>
              </w:rPr>
              <w:t>Foreign exchange gains</w:t>
            </w:r>
          </w:p>
        </w:tc>
        <w:tc>
          <w:tcPr>
            <w:tcW w:w="2000" w:type="dxa"/>
            <w:tcBorders>
              <w:top w:val="nil"/>
              <w:left w:val="nil"/>
              <w:bottom w:val="nil"/>
              <w:right w:val="nil"/>
            </w:tcBorders>
            <w:shd w:val="clear" w:color="auto" w:fill="auto"/>
            <w:noWrap/>
            <w:vAlign w:val="center"/>
            <w:hideMark/>
          </w:tcPr>
          <w:p w:rsidR="005D74BA" w:rsidRPr="00FE16B2" w:rsidRDefault="005D74BA" w:rsidP="00FE16B2">
            <w:pPr>
              <w:jc w:val="right"/>
              <w:rPr>
                <w:b/>
                <w:bCs/>
                <w:sz w:val="22"/>
                <w:szCs w:val="22"/>
                <w:lang w:eastAsia="en-GB"/>
              </w:rPr>
            </w:pPr>
            <w:r w:rsidRPr="00FE16B2">
              <w:rPr>
                <w:b/>
                <w:bCs/>
                <w:sz w:val="22"/>
                <w:szCs w:val="22"/>
                <w:lang w:eastAsia="en-GB"/>
              </w:rPr>
              <w:t xml:space="preserve">(2,563,853)  </w:t>
            </w:r>
          </w:p>
        </w:tc>
        <w:tc>
          <w:tcPr>
            <w:tcW w:w="277" w:type="dxa"/>
            <w:tcBorders>
              <w:top w:val="nil"/>
              <w:left w:val="nil"/>
              <w:bottom w:val="nil"/>
              <w:right w:val="nil"/>
            </w:tcBorders>
            <w:shd w:val="clear" w:color="auto" w:fill="auto"/>
            <w:noWrap/>
            <w:vAlign w:val="center"/>
            <w:hideMark/>
          </w:tcPr>
          <w:p w:rsidR="005D74BA" w:rsidRPr="00FE16B2" w:rsidRDefault="005D74BA" w:rsidP="00FE16B2">
            <w:pPr>
              <w:rPr>
                <w:b/>
                <w:bCs/>
                <w:sz w:val="22"/>
                <w:szCs w:val="22"/>
                <w:lang w:eastAsia="en-GB"/>
              </w:rPr>
            </w:pPr>
          </w:p>
        </w:tc>
        <w:tc>
          <w:tcPr>
            <w:tcW w:w="1675" w:type="dxa"/>
            <w:tcBorders>
              <w:top w:val="nil"/>
              <w:left w:val="nil"/>
              <w:bottom w:val="nil"/>
              <w:right w:val="nil"/>
            </w:tcBorders>
            <w:shd w:val="clear" w:color="auto" w:fill="auto"/>
            <w:noWrap/>
            <w:vAlign w:val="center"/>
            <w:hideMark/>
          </w:tcPr>
          <w:p w:rsidR="005D74BA" w:rsidRPr="00FE16B2" w:rsidRDefault="005D74BA" w:rsidP="00FE16B2">
            <w:pPr>
              <w:jc w:val="right"/>
              <w:rPr>
                <w:sz w:val="22"/>
                <w:szCs w:val="22"/>
                <w:lang w:eastAsia="en-GB"/>
              </w:rPr>
            </w:pPr>
            <w:r w:rsidRPr="00FE16B2">
              <w:rPr>
                <w:sz w:val="22"/>
                <w:szCs w:val="22"/>
                <w:lang w:eastAsia="en-GB"/>
              </w:rPr>
              <w:t xml:space="preserve">(988,343)  </w:t>
            </w:r>
          </w:p>
        </w:tc>
      </w:tr>
      <w:tr w:rsidR="005D74BA" w:rsidRPr="00FE16B2" w:rsidTr="005D74BA">
        <w:trPr>
          <w:trHeight w:val="300"/>
        </w:trPr>
        <w:tc>
          <w:tcPr>
            <w:tcW w:w="5121"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r w:rsidRPr="00FE16B2">
              <w:rPr>
                <w:sz w:val="22"/>
                <w:szCs w:val="22"/>
                <w:lang w:eastAsia="en-GB"/>
              </w:rPr>
              <w:t>Movement in fair value of investment properties</w:t>
            </w:r>
          </w:p>
        </w:tc>
        <w:tc>
          <w:tcPr>
            <w:tcW w:w="2000" w:type="dxa"/>
            <w:tcBorders>
              <w:top w:val="nil"/>
              <w:left w:val="nil"/>
              <w:bottom w:val="nil"/>
              <w:right w:val="nil"/>
            </w:tcBorders>
            <w:shd w:val="clear" w:color="auto" w:fill="auto"/>
            <w:noWrap/>
            <w:vAlign w:val="center"/>
            <w:hideMark/>
          </w:tcPr>
          <w:p w:rsidR="005D74BA" w:rsidRPr="00FE16B2" w:rsidRDefault="005D74BA" w:rsidP="00FE16B2">
            <w:pPr>
              <w:jc w:val="right"/>
              <w:rPr>
                <w:b/>
                <w:bCs/>
                <w:sz w:val="22"/>
                <w:szCs w:val="22"/>
                <w:lang w:eastAsia="en-GB"/>
              </w:rPr>
            </w:pPr>
            <w:r w:rsidRPr="00FE16B2">
              <w:rPr>
                <w:b/>
                <w:bCs/>
                <w:sz w:val="22"/>
                <w:szCs w:val="22"/>
                <w:lang w:eastAsia="en-GB"/>
              </w:rPr>
              <w:t xml:space="preserve">9,671   </w:t>
            </w:r>
          </w:p>
        </w:tc>
        <w:tc>
          <w:tcPr>
            <w:tcW w:w="277" w:type="dxa"/>
            <w:tcBorders>
              <w:top w:val="nil"/>
              <w:left w:val="nil"/>
              <w:bottom w:val="nil"/>
              <w:right w:val="nil"/>
            </w:tcBorders>
            <w:shd w:val="clear" w:color="auto" w:fill="auto"/>
            <w:noWrap/>
            <w:vAlign w:val="center"/>
            <w:hideMark/>
          </w:tcPr>
          <w:p w:rsidR="005D74BA" w:rsidRPr="00FE16B2" w:rsidRDefault="005D74BA" w:rsidP="00FE16B2">
            <w:pPr>
              <w:rPr>
                <w:b/>
                <w:bCs/>
                <w:sz w:val="22"/>
                <w:szCs w:val="22"/>
                <w:lang w:eastAsia="en-GB"/>
              </w:rPr>
            </w:pPr>
          </w:p>
        </w:tc>
        <w:tc>
          <w:tcPr>
            <w:tcW w:w="1675" w:type="dxa"/>
            <w:tcBorders>
              <w:top w:val="nil"/>
              <w:left w:val="nil"/>
              <w:bottom w:val="nil"/>
              <w:right w:val="nil"/>
            </w:tcBorders>
            <w:shd w:val="clear" w:color="auto" w:fill="auto"/>
            <w:noWrap/>
            <w:vAlign w:val="center"/>
            <w:hideMark/>
          </w:tcPr>
          <w:p w:rsidR="005D74BA" w:rsidRPr="00FE16B2" w:rsidRDefault="005D74BA" w:rsidP="00FE16B2">
            <w:pPr>
              <w:jc w:val="right"/>
              <w:rPr>
                <w:sz w:val="22"/>
                <w:szCs w:val="22"/>
                <w:lang w:eastAsia="en-GB"/>
              </w:rPr>
            </w:pPr>
            <w:r w:rsidRPr="00FE16B2">
              <w:rPr>
                <w:sz w:val="22"/>
                <w:szCs w:val="22"/>
                <w:lang w:eastAsia="en-GB"/>
              </w:rPr>
              <w:t xml:space="preserve">4,205   </w:t>
            </w:r>
          </w:p>
        </w:tc>
      </w:tr>
      <w:tr w:rsidR="005D74BA" w:rsidRPr="00FE16B2" w:rsidTr="005D74BA">
        <w:trPr>
          <w:trHeight w:val="300"/>
        </w:trPr>
        <w:tc>
          <w:tcPr>
            <w:tcW w:w="5121"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r w:rsidRPr="00FE16B2">
              <w:rPr>
                <w:sz w:val="22"/>
                <w:szCs w:val="22"/>
                <w:lang w:eastAsia="en-GB"/>
              </w:rPr>
              <w:t xml:space="preserve">Movement in fair value of investments through the </w:t>
            </w:r>
            <w:r w:rsidRPr="00FE16B2">
              <w:rPr>
                <w:sz w:val="22"/>
                <w:szCs w:val="22"/>
              </w:rPr>
              <w:t>profit and loss</w:t>
            </w:r>
          </w:p>
        </w:tc>
        <w:tc>
          <w:tcPr>
            <w:tcW w:w="2000" w:type="dxa"/>
            <w:tcBorders>
              <w:top w:val="nil"/>
              <w:left w:val="nil"/>
              <w:bottom w:val="nil"/>
              <w:right w:val="nil"/>
            </w:tcBorders>
            <w:shd w:val="clear" w:color="auto" w:fill="auto"/>
            <w:noWrap/>
            <w:vAlign w:val="center"/>
            <w:hideMark/>
          </w:tcPr>
          <w:p w:rsidR="005D74BA" w:rsidRPr="00FE16B2" w:rsidRDefault="005D74BA" w:rsidP="00FE16B2">
            <w:pPr>
              <w:jc w:val="right"/>
              <w:rPr>
                <w:b/>
                <w:bCs/>
                <w:sz w:val="22"/>
                <w:szCs w:val="22"/>
                <w:lang w:eastAsia="en-GB"/>
              </w:rPr>
            </w:pPr>
            <w:r w:rsidRPr="00FE16B2">
              <w:rPr>
                <w:b/>
                <w:bCs/>
                <w:sz w:val="22"/>
                <w:szCs w:val="22"/>
                <w:lang w:eastAsia="en-GB"/>
              </w:rPr>
              <w:t>31,679,456</w:t>
            </w:r>
          </w:p>
        </w:tc>
        <w:tc>
          <w:tcPr>
            <w:tcW w:w="277" w:type="dxa"/>
            <w:tcBorders>
              <w:top w:val="nil"/>
              <w:left w:val="nil"/>
              <w:bottom w:val="nil"/>
              <w:right w:val="nil"/>
            </w:tcBorders>
            <w:shd w:val="clear" w:color="auto" w:fill="auto"/>
            <w:noWrap/>
            <w:vAlign w:val="center"/>
            <w:hideMark/>
          </w:tcPr>
          <w:p w:rsidR="005D74BA" w:rsidRPr="00FE16B2" w:rsidRDefault="005D74BA" w:rsidP="00FE16B2">
            <w:pPr>
              <w:rPr>
                <w:b/>
                <w:bCs/>
                <w:sz w:val="22"/>
                <w:szCs w:val="22"/>
                <w:lang w:eastAsia="en-GB"/>
              </w:rPr>
            </w:pPr>
          </w:p>
        </w:tc>
        <w:tc>
          <w:tcPr>
            <w:tcW w:w="1675" w:type="dxa"/>
            <w:tcBorders>
              <w:top w:val="nil"/>
              <w:left w:val="nil"/>
              <w:bottom w:val="nil"/>
              <w:right w:val="nil"/>
            </w:tcBorders>
            <w:shd w:val="clear" w:color="auto" w:fill="auto"/>
            <w:noWrap/>
            <w:vAlign w:val="center"/>
            <w:hideMark/>
          </w:tcPr>
          <w:p w:rsidR="005D74BA" w:rsidRPr="00FE16B2" w:rsidRDefault="005D74BA" w:rsidP="00FE16B2">
            <w:pPr>
              <w:jc w:val="right"/>
              <w:rPr>
                <w:sz w:val="22"/>
                <w:szCs w:val="22"/>
                <w:lang w:eastAsia="en-GB"/>
              </w:rPr>
            </w:pPr>
            <w:r w:rsidRPr="00FE16B2">
              <w:rPr>
                <w:sz w:val="22"/>
                <w:szCs w:val="22"/>
                <w:lang w:eastAsia="en-GB"/>
              </w:rPr>
              <w:t>25,164,525</w:t>
            </w:r>
          </w:p>
        </w:tc>
      </w:tr>
      <w:tr w:rsidR="005D74BA" w:rsidRPr="00FE16B2" w:rsidTr="005D74BA">
        <w:trPr>
          <w:trHeight w:val="300"/>
        </w:trPr>
        <w:tc>
          <w:tcPr>
            <w:tcW w:w="5121"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r w:rsidRPr="00FE16B2">
              <w:rPr>
                <w:sz w:val="22"/>
                <w:szCs w:val="22"/>
                <w:lang w:eastAsia="en-GB"/>
              </w:rPr>
              <w:t>Finance costs</w:t>
            </w:r>
          </w:p>
        </w:tc>
        <w:tc>
          <w:tcPr>
            <w:tcW w:w="2000" w:type="dxa"/>
            <w:tcBorders>
              <w:top w:val="nil"/>
              <w:left w:val="nil"/>
              <w:bottom w:val="single" w:sz="4" w:space="0" w:color="auto"/>
              <w:right w:val="nil"/>
            </w:tcBorders>
            <w:shd w:val="clear" w:color="auto" w:fill="auto"/>
            <w:noWrap/>
            <w:vAlign w:val="center"/>
            <w:hideMark/>
          </w:tcPr>
          <w:p w:rsidR="005D74BA" w:rsidRPr="00FE16B2" w:rsidRDefault="005D74BA" w:rsidP="00FE16B2">
            <w:pPr>
              <w:jc w:val="right"/>
              <w:rPr>
                <w:b/>
                <w:bCs/>
                <w:sz w:val="22"/>
                <w:szCs w:val="22"/>
                <w:lang w:eastAsia="en-GB"/>
              </w:rPr>
            </w:pPr>
            <w:r w:rsidRPr="00FE16B2">
              <w:rPr>
                <w:b/>
                <w:bCs/>
                <w:sz w:val="22"/>
                <w:szCs w:val="22"/>
                <w:lang w:eastAsia="en-GB"/>
              </w:rPr>
              <w:t xml:space="preserve">976,080   </w:t>
            </w:r>
          </w:p>
        </w:tc>
        <w:tc>
          <w:tcPr>
            <w:tcW w:w="277" w:type="dxa"/>
            <w:tcBorders>
              <w:top w:val="nil"/>
              <w:left w:val="nil"/>
              <w:bottom w:val="nil"/>
              <w:right w:val="nil"/>
            </w:tcBorders>
            <w:shd w:val="clear" w:color="auto" w:fill="auto"/>
            <w:noWrap/>
            <w:vAlign w:val="center"/>
            <w:hideMark/>
          </w:tcPr>
          <w:p w:rsidR="005D74BA" w:rsidRPr="00FE16B2" w:rsidRDefault="005D74BA" w:rsidP="00FE16B2">
            <w:pPr>
              <w:keepNext/>
              <w:keepLines/>
              <w:spacing w:before="480"/>
              <w:outlineLvl w:val="0"/>
              <w:rPr>
                <w:b/>
                <w:bCs/>
                <w:sz w:val="22"/>
                <w:szCs w:val="22"/>
                <w:lang w:eastAsia="en-GB"/>
              </w:rPr>
            </w:pPr>
          </w:p>
        </w:tc>
        <w:tc>
          <w:tcPr>
            <w:tcW w:w="1675" w:type="dxa"/>
            <w:tcBorders>
              <w:top w:val="nil"/>
              <w:left w:val="nil"/>
              <w:bottom w:val="single" w:sz="4" w:space="0" w:color="auto"/>
              <w:right w:val="nil"/>
            </w:tcBorders>
            <w:shd w:val="clear" w:color="auto" w:fill="auto"/>
            <w:noWrap/>
            <w:vAlign w:val="center"/>
            <w:hideMark/>
          </w:tcPr>
          <w:p w:rsidR="005D74BA" w:rsidRPr="00FE16B2" w:rsidRDefault="005D74BA" w:rsidP="00FE16B2">
            <w:pPr>
              <w:jc w:val="right"/>
              <w:rPr>
                <w:sz w:val="22"/>
                <w:szCs w:val="22"/>
                <w:lang w:eastAsia="en-GB"/>
              </w:rPr>
            </w:pPr>
            <w:r w:rsidRPr="00FE16B2">
              <w:rPr>
                <w:sz w:val="22"/>
                <w:szCs w:val="22"/>
                <w:lang w:eastAsia="en-GB"/>
              </w:rPr>
              <w:t xml:space="preserve">2,010,474   </w:t>
            </w:r>
          </w:p>
        </w:tc>
      </w:tr>
      <w:tr w:rsidR="005D74BA" w:rsidRPr="00FE16B2" w:rsidTr="005D74BA">
        <w:trPr>
          <w:trHeight w:val="300"/>
        </w:trPr>
        <w:tc>
          <w:tcPr>
            <w:tcW w:w="5121" w:type="dxa"/>
            <w:tcBorders>
              <w:top w:val="nil"/>
              <w:left w:val="nil"/>
              <w:bottom w:val="nil"/>
              <w:right w:val="nil"/>
            </w:tcBorders>
            <w:shd w:val="clear" w:color="auto" w:fill="auto"/>
            <w:noWrap/>
            <w:vAlign w:val="center"/>
            <w:hideMark/>
          </w:tcPr>
          <w:p w:rsidR="005D74BA" w:rsidRPr="00FE16B2" w:rsidRDefault="005D74BA" w:rsidP="00FE16B2">
            <w:pPr>
              <w:rPr>
                <w:b/>
                <w:bCs/>
                <w:sz w:val="22"/>
                <w:szCs w:val="22"/>
                <w:lang w:eastAsia="en-GB"/>
              </w:rPr>
            </w:pPr>
            <w:r w:rsidRPr="00FE16B2">
              <w:rPr>
                <w:b/>
                <w:bCs/>
                <w:sz w:val="22"/>
                <w:szCs w:val="22"/>
                <w:lang w:eastAsia="en-GB"/>
              </w:rPr>
              <w:t>Cash flow from operating profit before changes in working capital</w:t>
            </w:r>
          </w:p>
        </w:tc>
        <w:tc>
          <w:tcPr>
            <w:tcW w:w="2000" w:type="dxa"/>
            <w:tcBorders>
              <w:top w:val="nil"/>
              <w:left w:val="nil"/>
              <w:bottom w:val="nil"/>
              <w:right w:val="nil"/>
            </w:tcBorders>
            <w:shd w:val="clear" w:color="auto" w:fill="auto"/>
            <w:noWrap/>
            <w:vAlign w:val="center"/>
            <w:hideMark/>
          </w:tcPr>
          <w:p w:rsidR="005D74BA" w:rsidRPr="00FE16B2" w:rsidRDefault="005D74BA" w:rsidP="00FE16B2">
            <w:pPr>
              <w:jc w:val="right"/>
              <w:rPr>
                <w:b/>
                <w:bCs/>
                <w:sz w:val="22"/>
                <w:szCs w:val="22"/>
                <w:lang w:eastAsia="en-GB"/>
              </w:rPr>
            </w:pPr>
            <w:r w:rsidRPr="00FE16B2">
              <w:rPr>
                <w:b/>
                <w:bCs/>
                <w:sz w:val="22"/>
                <w:szCs w:val="22"/>
                <w:lang w:eastAsia="en-GB"/>
              </w:rPr>
              <w:t>(257,272)</w:t>
            </w:r>
          </w:p>
        </w:tc>
        <w:tc>
          <w:tcPr>
            <w:tcW w:w="277"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p>
        </w:tc>
        <w:tc>
          <w:tcPr>
            <w:tcW w:w="1675" w:type="dxa"/>
            <w:tcBorders>
              <w:top w:val="nil"/>
              <w:left w:val="nil"/>
              <w:bottom w:val="nil"/>
              <w:right w:val="nil"/>
            </w:tcBorders>
            <w:shd w:val="clear" w:color="auto" w:fill="auto"/>
            <w:noWrap/>
            <w:vAlign w:val="center"/>
            <w:hideMark/>
          </w:tcPr>
          <w:p w:rsidR="005D74BA" w:rsidRPr="00FE16B2" w:rsidRDefault="001D0B57" w:rsidP="00FE16B2">
            <w:pPr>
              <w:jc w:val="right"/>
              <w:rPr>
                <w:sz w:val="22"/>
                <w:szCs w:val="22"/>
                <w:lang w:eastAsia="en-GB"/>
              </w:rPr>
            </w:pPr>
            <w:r>
              <w:rPr>
                <w:sz w:val="22"/>
                <w:szCs w:val="22"/>
                <w:lang w:eastAsia="en-GB"/>
              </w:rPr>
              <w:t>25,666,693</w:t>
            </w:r>
          </w:p>
        </w:tc>
      </w:tr>
      <w:tr w:rsidR="005D74BA" w:rsidRPr="00FE16B2" w:rsidTr="005D74BA">
        <w:trPr>
          <w:trHeight w:val="300"/>
        </w:trPr>
        <w:tc>
          <w:tcPr>
            <w:tcW w:w="5121"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p>
        </w:tc>
        <w:tc>
          <w:tcPr>
            <w:tcW w:w="2000" w:type="dxa"/>
            <w:tcBorders>
              <w:top w:val="nil"/>
              <w:left w:val="nil"/>
              <w:bottom w:val="nil"/>
              <w:right w:val="nil"/>
            </w:tcBorders>
            <w:shd w:val="clear" w:color="auto" w:fill="auto"/>
            <w:noWrap/>
            <w:vAlign w:val="center"/>
            <w:hideMark/>
          </w:tcPr>
          <w:p w:rsidR="005D74BA" w:rsidRPr="00FE16B2" w:rsidRDefault="005D74BA" w:rsidP="00FE16B2">
            <w:pPr>
              <w:rPr>
                <w:b/>
                <w:bCs/>
                <w:sz w:val="22"/>
                <w:szCs w:val="22"/>
                <w:lang w:eastAsia="en-GB"/>
              </w:rPr>
            </w:pPr>
          </w:p>
        </w:tc>
        <w:tc>
          <w:tcPr>
            <w:tcW w:w="277"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p>
        </w:tc>
        <w:tc>
          <w:tcPr>
            <w:tcW w:w="1675" w:type="dxa"/>
            <w:tcBorders>
              <w:top w:val="nil"/>
              <w:left w:val="nil"/>
              <w:bottom w:val="nil"/>
              <w:right w:val="nil"/>
            </w:tcBorders>
            <w:shd w:val="clear" w:color="auto" w:fill="auto"/>
            <w:noWrap/>
            <w:vAlign w:val="center"/>
            <w:hideMark/>
          </w:tcPr>
          <w:p w:rsidR="005D74BA" w:rsidRPr="00FE16B2" w:rsidRDefault="005D74BA" w:rsidP="00FE16B2">
            <w:pPr>
              <w:jc w:val="right"/>
              <w:rPr>
                <w:sz w:val="22"/>
                <w:szCs w:val="22"/>
                <w:lang w:eastAsia="en-GB"/>
              </w:rPr>
            </w:pPr>
          </w:p>
        </w:tc>
      </w:tr>
      <w:tr w:rsidR="005D74BA" w:rsidRPr="00FE16B2" w:rsidTr="005D74BA">
        <w:trPr>
          <w:trHeight w:val="300"/>
        </w:trPr>
        <w:tc>
          <w:tcPr>
            <w:tcW w:w="5121"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r w:rsidRPr="00FE16B2">
              <w:rPr>
                <w:sz w:val="22"/>
                <w:szCs w:val="22"/>
                <w:lang w:eastAsia="en-GB"/>
              </w:rPr>
              <w:t xml:space="preserve">Decrease / (increase) in fair value </w:t>
            </w:r>
            <w:r w:rsidRPr="00FE16B2">
              <w:rPr>
                <w:sz w:val="22"/>
                <w:szCs w:val="22"/>
              </w:rPr>
              <w:t>of</w:t>
            </w:r>
            <w:r w:rsidRPr="00FE16B2">
              <w:rPr>
                <w:sz w:val="22"/>
                <w:szCs w:val="22"/>
                <w:lang w:eastAsia="en-GB"/>
              </w:rPr>
              <w:t xml:space="preserve"> investments through the </w:t>
            </w:r>
            <w:r w:rsidRPr="00FE16B2">
              <w:rPr>
                <w:sz w:val="22"/>
                <w:szCs w:val="22"/>
              </w:rPr>
              <w:t>profit and loss</w:t>
            </w:r>
          </w:p>
        </w:tc>
        <w:tc>
          <w:tcPr>
            <w:tcW w:w="2000" w:type="dxa"/>
            <w:tcBorders>
              <w:top w:val="nil"/>
              <w:left w:val="nil"/>
              <w:bottom w:val="nil"/>
              <w:right w:val="nil"/>
            </w:tcBorders>
            <w:shd w:val="clear" w:color="auto" w:fill="auto"/>
            <w:noWrap/>
            <w:vAlign w:val="center"/>
            <w:hideMark/>
          </w:tcPr>
          <w:p w:rsidR="005D74BA" w:rsidRPr="00FE16B2" w:rsidRDefault="005D74BA" w:rsidP="00FE16B2">
            <w:pPr>
              <w:jc w:val="right"/>
              <w:rPr>
                <w:b/>
                <w:bCs/>
                <w:sz w:val="22"/>
                <w:szCs w:val="22"/>
                <w:lang w:eastAsia="en-GB"/>
              </w:rPr>
            </w:pPr>
            <w:r w:rsidRPr="00FE16B2">
              <w:rPr>
                <w:b/>
                <w:bCs/>
                <w:sz w:val="22"/>
                <w:szCs w:val="22"/>
                <w:lang w:eastAsia="en-GB"/>
              </w:rPr>
              <w:t>10,321,458</w:t>
            </w:r>
          </w:p>
        </w:tc>
        <w:tc>
          <w:tcPr>
            <w:tcW w:w="277"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p>
        </w:tc>
        <w:tc>
          <w:tcPr>
            <w:tcW w:w="1675" w:type="dxa"/>
            <w:tcBorders>
              <w:top w:val="nil"/>
              <w:left w:val="nil"/>
              <w:bottom w:val="nil"/>
              <w:right w:val="nil"/>
            </w:tcBorders>
            <w:shd w:val="clear" w:color="auto" w:fill="auto"/>
            <w:noWrap/>
            <w:vAlign w:val="center"/>
            <w:hideMark/>
          </w:tcPr>
          <w:p w:rsidR="005D74BA" w:rsidRPr="00FE16B2" w:rsidRDefault="001D0B57" w:rsidP="001D0B57">
            <w:pPr>
              <w:jc w:val="right"/>
              <w:rPr>
                <w:sz w:val="22"/>
                <w:szCs w:val="22"/>
                <w:lang w:eastAsia="en-GB"/>
              </w:rPr>
            </w:pPr>
            <w:r>
              <w:rPr>
                <w:sz w:val="22"/>
                <w:szCs w:val="22"/>
                <w:lang w:eastAsia="en-GB"/>
              </w:rPr>
              <w:t>(16</w:t>
            </w:r>
            <w:r w:rsidR="005D74BA" w:rsidRPr="00FE16B2">
              <w:rPr>
                <w:sz w:val="22"/>
                <w:szCs w:val="22"/>
                <w:lang w:eastAsia="en-GB"/>
              </w:rPr>
              <w:t>,</w:t>
            </w:r>
            <w:r>
              <w:rPr>
                <w:sz w:val="22"/>
                <w:szCs w:val="22"/>
                <w:lang w:eastAsia="en-GB"/>
              </w:rPr>
              <w:t>118</w:t>
            </w:r>
            <w:r w:rsidR="005D74BA" w:rsidRPr="00FE16B2">
              <w:rPr>
                <w:sz w:val="22"/>
                <w:szCs w:val="22"/>
                <w:lang w:eastAsia="en-GB"/>
              </w:rPr>
              <w:t>,</w:t>
            </w:r>
            <w:r>
              <w:rPr>
                <w:sz w:val="22"/>
                <w:szCs w:val="22"/>
                <w:lang w:eastAsia="en-GB"/>
              </w:rPr>
              <w:t>537</w:t>
            </w:r>
            <w:r w:rsidR="005D74BA" w:rsidRPr="00FE16B2">
              <w:rPr>
                <w:sz w:val="22"/>
                <w:szCs w:val="22"/>
                <w:lang w:eastAsia="en-GB"/>
              </w:rPr>
              <w:t xml:space="preserve">)   </w:t>
            </w:r>
          </w:p>
        </w:tc>
      </w:tr>
      <w:tr w:rsidR="005D74BA" w:rsidRPr="00FE16B2" w:rsidTr="005D74BA">
        <w:trPr>
          <w:trHeight w:val="300"/>
        </w:trPr>
        <w:tc>
          <w:tcPr>
            <w:tcW w:w="5121"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r w:rsidRPr="00FE16B2">
              <w:rPr>
                <w:sz w:val="22"/>
                <w:szCs w:val="22"/>
                <w:lang w:eastAsia="en-GB"/>
              </w:rPr>
              <w:t>Decrease / (increase) in trade and other receivables</w:t>
            </w:r>
          </w:p>
        </w:tc>
        <w:tc>
          <w:tcPr>
            <w:tcW w:w="2000" w:type="dxa"/>
            <w:tcBorders>
              <w:top w:val="nil"/>
              <w:left w:val="nil"/>
              <w:bottom w:val="nil"/>
              <w:right w:val="nil"/>
            </w:tcBorders>
            <w:shd w:val="clear" w:color="auto" w:fill="auto"/>
            <w:noWrap/>
            <w:vAlign w:val="center"/>
            <w:hideMark/>
          </w:tcPr>
          <w:p w:rsidR="005D74BA" w:rsidRPr="00FE16B2" w:rsidRDefault="005D74BA" w:rsidP="00FE16B2">
            <w:pPr>
              <w:jc w:val="right"/>
              <w:rPr>
                <w:b/>
                <w:bCs/>
                <w:sz w:val="22"/>
                <w:szCs w:val="22"/>
                <w:lang w:eastAsia="en-GB"/>
              </w:rPr>
            </w:pPr>
            <w:r w:rsidRPr="00FE16B2">
              <w:rPr>
                <w:b/>
                <w:bCs/>
                <w:sz w:val="22"/>
                <w:szCs w:val="22"/>
                <w:lang w:eastAsia="en-GB"/>
              </w:rPr>
              <w:t xml:space="preserve">683,584   </w:t>
            </w:r>
          </w:p>
        </w:tc>
        <w:tc>
          <w:tcPr>
            <w:tcW w:w="277"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p>
        </w:tc>
        <w:tc>
          <w:tcPr>
            <w:tcW w:w="1675" w:type="dxa"/>
            <w:tcBorders>
              <w:top w:val="nil"/>
              <w:left w:val="nil"/>
              <w:bottom w:val="nil"/>
              <w:right w:val="nil"/>
            </w:tcBorders>
            <w:shd w:val="clear" w:color="auto" w:fill="auto"/>
            <w:noWrap/>
            <w:vAlign w:val="center"/>
            <w:hideMark/>
          </w:tcPr>
          <w:p w:rsidR="005D74BA" w:rsidRPr="00FE16B2" w:rsidRDefault="005D74BA" w:rsidP="00FE16B2">
            <w:pPr>
              <w:jc w:val="right"/>
              <w:rPr>
                <w:sz w:val="22"/>
                <w:szCs w:val="22"/>
                <w:lang w:eastAsia="en-GB"/>
              </w:rPr>
            </w:pPr>
            <w:r w:rsidRPr="00FE16B2">
              <w:rPr>
                <w:sz w:val="22"/>
                <w:szCs w:val="22"/>
                <w:lang w:eastAsia="en-GB"/>
              </w:rPr>
              <w:t xml:space="preserve">(1,259,968)  </w:t>
            </w:r>
          </w:p>
        </w:tc>
      </w:tr>
      <w:tr w:rsidR="005D74BA" w:rsidRPr="00FE16B2" w:rsidTr="005D74BA">
        <w:trPr>
          <w:trHeight w:val="300"/>
        </w:trPr>
        <w:tc>
          <w:tcPr>
            <w:tcW w:w="5121"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r w:rsidRPr="00FE16B2">
              <w:rPr>
                <w:sz w:val="22"/>
                <w:szCs w:val="22"/>
                <w:lang w:eastAsia="en-GB"/>
              </w:rPr>
              <w:t>Increase / (decrease) in trade and other payables</w:t>
            </w:r>
          </w:p>
        </w:tc>
        <w:tc>
          <w:tcPr>
            <w:tcW w:w="2000" w:type="dxa"/>
            <w:tcBorders>
              <w:top w:val="nil"/>
              <w:left w:val="nil"/>
              <w:bottom w:val="single" w:sz="4" w:space="0" w:color="auto"/>
              <w:right w:val="nil"/>
            </w:tcBorders>
            <w:shd w:val="clear" w:color="auto" w:fill="auto"/>
            <w:noWrap/>
            <w:vAlign w:val="center"/>
            <w:hideMark/>
          </w:tcPr>
          <w:p w:rsidR="005D74BA" w:rsidRPr="00FE16B2" w:rsidRDefault="005D74BA" w:rsidP="00FE16B2">
            <w:pPr>
              <w:jc w:val="right"/>
              <w:rPr>
                <w:b/>
                <w:bCs/>
                <w:sz w:val="22"/>
                <w:szCs w:val="22"/>
                <w:lang w:eastAsia="en-GB"/>
              </w:rPr>
            </w:pPr>
            <w:r w:rsidRPr="00FE16B2">
              <w:rPr>
                <w:b/>
                <w:bCs/>
                <w:sz w:val="22"/>
                <w:szCs w:val="22"/>
                <w:lang w:eastAsia="en-GB"/>
              </w:rPr>
              <w:t xml:space="preserve">481,742   </w:t>
            </w:r>
          </w:p>
        </w:tc>
        <w:tc>
          <w:tcPr>
            <w:tcW w:w="277"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p>
        </w:tc>
        <w:tc>
          <w:tcPr>
            <w:tcW w:w="1675" w:type="dxa"/>
            <w:tcBorders>
              <w:top w:val="nil"/>
              <w:left w:val="nil"/>
              <w:bottom w:val="single" w:sz="4" w:space="0" w:color="auto"/>
              <w:right w:val="nil"/>
            </w:tcBorders>
            <w:shd w:val="clear" w:color="auto" w:fill="auto"/>
            <w:noWrap/>
            <w:vAlign w:val="center"/>
            <w:hideMark/>
          </w:tcPr>
          <w:p w:rsidR="005D74BA" w:rsidRPr="00FE16B2" w:rsidRDefault="005D74BA" w:rsidP="00FE16B2">
            <w:pPr>
              <w:jc w:val="right"/>
              <w:rPr>
                <w:sz w:val="22"/>
                <w:szCs w:val="22"/>
                <w:lang w:eastAsia="en-GB"/>
              </w:rPr>
            </w:pPr>
            <w:r w:rsidRPr="00FE16B2">
              <w:rPr>
                <w:sz w:val="22"/>
                <w:szCs w:val="22"/>
                <w:lang w:eastAsia="en-GB"/>
              </w:rPr>
              <w:t xml:space="preserve">(252,513)  </w:t>
            </w:r>
          </w:p>
        </w:tc>
      </w:tr>
      <w:tr w:rsidR="005D74BA" w:rsidRPr="00FE16B2" w:rsidTr="005D74BA">
        <w:trPr>
          <w:trHeight w:val="300"/>
        </w:trPr>
        <w:tc>
          <w:tcPr>
            <w:tcW w:w="5121" w:type="dxa"/>
            <w:tcBorders>
              <w:top w:val="nil"/>
              <w:left w:val="nil"/>
              <w:bottom w:val="nil"/>
              <w:right w:val="nil"/>
            </w:tcBorders>
            <w:shd w:val="clear" w:color="auto" w:fill="auto"/>
            <w:noWrap/>
            <w:vAlign w:val="center"/>
            <w:hideMark/>
          </w:tcPr>
          <w:p w:rsidR="005D74BA" w:rsidRPr="00FE16B2" w:rsidRDefault="005D74BA" w:rsidP="00FE16B2">
            <w:pPr>
              <w:rPr>
                <w:b/>
                <w:bCs/>
                <w:sz w:val="22"/>
                <w:szCs w:val="22"/>
                <w:lang w:eastAsia="en-GB"/>
              </w:rPr>
            </w:pPr>
            <w:r w:rsidRPr="00FE16B2">
              <w:rPr>
                <w:b/>
                <w:bCs/>
                <w:sz w:val="22"/>
                <w:szCs w:val="22"/>
                <w:lang w:eastAsia="en-GB"/>
              </w:rPr>
              <w:t>Cash flow from operations</w:t>
            </w:r>
          </w:p>
        </w:tc>
        <w:tc>
          <w:tcPr>
            <w:tcW w:w="2000" w:type="dxa"/>
            <w:tcBorders>
              <w:top w:val="nil"/>
              <w:left w:val="nil"/>
              <w:bottom w:val="nil"/>
              <w:right w:val="nil"/>
            </w:tcBorders>
            <w:shd w:val="clear" w:color="auto" w:fill="auto"/>
            <w:noWrap/>
            <w:vAlign w:val="center"/>
            <w:hideMark/>
          </w:tcPr>
          <w:p w:rsidR="005D74BA" w:rsidRPr="00FE16B2" w:rsidRDefault="005D74BA" w:rsidP="00FE16B2">
            <w:pPr>
              <w:jc w:val="right"/>
              <w:rPr>
                <w:b/>
                <w:bCs/>
                <w:sz w:val="22"/>
                <w:szCs w:val="22"/>
                <w:lang w:eastAsia="en-GB"/>
              </w:rPr>
            </w:pPr>
            <w:r w:rsidRPr="00FE16B2">
              <w:rPr>
                <w:b/>
                <w:bCs/>
                <w:sz w:val="22"/>
                <w:szCs w:val="22"/>
                <w:lang w:eastAsia="en-GB"/>
              </w:rPr>
              <w:t xml:space="preserve">11,229,512   </w:t>
            </w:r>
          </w:p>
        </w:tc>
        <w:tc>
          <w:tcPr>
            <w:tcW w:w="277"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p>
        </w:tc>
        <w:tc>
          <w:tcPr>
            <w:tcW w:w="1675" w:type="dxa"/>
            <w:tcBorders>
              <w:top w:val="nil"/>
              <w:left w:val="nil"/>
              <w:bottom w:val="nil"/>
              <w:right w:val="nil"/>
            </w:tcBorders>
            <w:shd w:val="clear" w:color="auto" w:fill="auto"/>
            <w:noWrap/>
            <w:vAlign w:val="center"/>
            <w:hideMark/>
          </w:tcPr>
          <w:p w:rsidR="005D74BA" w:rsidRPr="00FE16B2" w:rsidRDefault="005D74BA" w:rsidP="00FE16B2">
            <w:pPr>
              <w:jc w:val="right"/>
              <w:rPr>
                <w:sz w:val="22"/>
                <w:szCs w:val="22"/>
                <w:lang w:eastAsia="en-GB"/>
              </w:rPr>
            </w:pPr>
            <w:r w:rsidRPr="00FE16B2">
              <w:rPr>
                <w:sz w:val="22"/>
                <w:szCs w:val="22"/>
                <w:lang w:eastAsia="en-GB"/>
              </w:rPr>
              <w:t xml:space="preserve">8,035,675   </w:t>
            </w:r>
          </w:p>
        </w:tc>
      </w:tr>
      <w:tr w:rsidR="005D74BA" w:rsidRPr="00FE16B2" w:rsidTr="005D74BA">
        <w:trPr>
          <w:trHeight w:val="300"/>
        </w:trPr>
        <w:tc>
          <w:tcPr>
            <w:tcW w:w="5121"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p>
        </w:tc>
        <w:tc>
          <w:tcPr>
            <w:tcW w:w="2000" w:type="dxa"/>
            <w:tcBorders>
              <w:top w:val="nil"/>
              <w:left w:val="nil"/>
              <w:bottom w:val="nil"/>
              <w:right w:val="nil"/>
            </w:tcBorders>
            <w:shd w:val="clear" w:color="auto" w:fill="auto"/>
            <w:noWrap/>
            <w:vAlign w:val="center"/>
            <w:hideMark/>
          </w:tcPr>
          <w:p w:rsidR="005D74BA" w:rsidRPr="00FE16B2" w:rsidRDefault="005D74BA" w:rsidP="00FE16B2">
            <w:pPr>
              <w:jc w:val="right"/>
              <w:rPr>
                <w:b/>
                <w:bCs/>
                <w:sz w:val="22"/>
                <w:szCs w:val="22"/>
                <w:lang w:eastAsia="en-GB"/>
              </w:rPr>
            </w:pPr>
          </w:p>
        </w:tc>
        <w:tc>
          <w:tcPr>
            <w:tcW w:w="277"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p>
        </w:tc>
        <w:tc>
          <w:tcPr>
            <w:tcW w:w="1675" w:type="dxa"/>
            <w:tcBorders>
              <w:top w:val="nil"/>
              <w:left w:val="nil"/>
              <w:bottom w:val="nil"/>
              <w:right w:val="nil"/>
            </w:tcBorders>
            <w:shd w:val="clear" w:color="auto" w:fill="auto"/>
            <w:noWrap/>
            <w:vAlign w:val="center"/>
            <w:hideMark/>
          </w:tcPr>
          <w:p w:rsidR="005D74BA" w:rsidRPr="00FE16B2" w:rsidRDefault="005D74BA" w:rsidP="00FE16B2">
            <w:pPr>
              <w:jc w:val="right"/>
              <w:rPr>
                <w:sz w:val="22"/>
                <w:szCs w:val="22"/>
                <w:lang w:eastAsia="en-GB"/>
              </w:rPr>
            </w:pPr>
          </w:p>
        </w:tc>
      </w:tr>
      <w:tr w:rsidR="005D74BA" w:rsidRPr="00FE16B2" w:rsidTr="005D74BA">
        <w:trPr>
          <w:trHeight w:val="300"/>
        </w:trPr>
        <w:tc>
          <w:tcPr>
            <w:tcW w:w="5121"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r w:rsidRPr="00FE16B2">
              <w:rPr>
                <w:sz w:val="22"/>
                <w:szCs w:val="22"/>
                <w:lang w:eastAsia="en-GB"/>
              </w:rPr>
              <w:t>Income taxes paid</w:t>
            </w:r>
          </w:p>
        </w:tc>
        <w:tc>
          <w:tcPr>
            <w:tcW w:w="2000" w:type="dxa"/>
            <w:tcBorders>
              <w:top w:val="nil"/>
              <w:left w:val="nil"/>
              <w:bottom w:val="single" w:sz="4" w:space="0" w:color="auto"/>
              <w:right w:val="nil"/>
            </w:tcBorders>
            <w:shd w:val="clear" w:color="auto" w:fill="auto"/>
            <w:noWrap/>
            <w:vAlign w:val="center"/>
            <w:hideMark/>
          </w:tcPr>
          <w:p w:rsidR="005D74BA" w:rsidRPr="00FE16B2" w:rsidRDefault="005D74BA" w:rsidP="00FE16B2">
            <w:pPr>
              <w:jc w:val="right"/>
              <w:rPr>
                <w:b/>
                <w:bCs/>
                <w:sz w:val="22"/>
                <w:szCs w:val="22"/>
                <w:lang w:eastAsia="en-GB"/>
              </w:rPr>
            </w:pPr>
            <w:r w:rsidRPr="00FE16B2">
              <w:rPr>
                <w:b/>
                <w:bCs/>
                <w:sz w:val="22"/>
                <w:szCs w:val="22"/>
                <w:lang w:eastAsia="en-GB"/>
              </w:rPr>
              <w:t xml:space="preserve">(1,487,188)  </w:t>
            </w:r>
          </w:p>
        </w:tc>
        <w:tc>
          <w:tcPr>
            <w:tcW w:w="277"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p>
        </w:tc>
        <w:tc>
          <w:tcPr>
            <w:tcW w:w="1675" w:type="dxa"/>
            <w:tcBorders>
              <w:top w:val="nil"/>
              <w:left w:val="nil"/>
              <w:bottom w:val="single" w:sz="4" w:space="0" w:color="auto"/>
              <w:right w:val="nil"/>
            </w:tcBorders>
            <w:shd w:val="clear" w:color="auto" w:fill="auto"/>
            <w:noWrap/>
            <w:vAlign w:val="center"/>
            <w:hideMark/>
          </w:tcPr>
          <w:p w:rsidR="005D74BA" w:rsidRPr="00FE16B2" w:rsidRDefault="005D74BA" w:rsidP="00FE16B2">
            <w:pPr>
              <w:jc w:val="right"/>
              <w:rPr>
                <w:sz w:val="22"/>
                <w:szCs w:val="22"/>
                <w:lang w:eastAsia="en-GB"/>
              </w:rPr>
            </w:pPr>
            <w:r w:rsidRPr="00FE16B2">
              <w:rPr>
                <w:sz w:val="22"/>
                <w:szCs w:val="22"/>
                <w:lang w:eastAsia="en-GB"/>
              </w:rPr>
              <w:t xml:space="preserve">(1,822,827)  </w:t>
            </w:r>
          </w:p>
        </w:tc>
      </w:tr>
      <w:tr w:rsidR="005D74BA" w:rsidRPr="00FE16B2" w:rsidTr="005D74BA">
        <w:trPr>
          <w:trHeight w:val="345"/>
        </w:trPr>
        <w:tc>
          <w:tcPr>
            <w:tcW w:w="5121" w:type="dxa"/>
            <w:tcBorders>
              <w:top w:val="nil"/>
              <w:left w:val="nil"/>
              <w:bottom w:val="nil"/>
              <w:right w:val="nil"/>
            </w:tcBorders>
            <w:shd w:val="clear" w:color="auto" w:fill="auto"/>
            <w:noWrap/>
            <w:vAlign w:val="center"/>
            <w:hideMark/>
          </w:tcPr>
          <w:p w:rsidR="005D74BA" w:rsidRPr="00FE16B2" w:rsidRDefault="005D74BA" w:rsidP="00FE16B2">
            <w:pPr>
              <w:rPr>
                <w:b/>
                <w:bCs/>
                <w:sz w:val="22"/>
                <w:szCs w:val="22"/>
                <w:lang w:eastAsia="en-GB"/>
              </w:rPr>
            </w:pPr>
            <w:r w:rsidRPr="00FE16B2">
              <w:rPr>
                <w:b/>
                <w:bCs/>
                <w:sz w:val="22"/>
                <w:szCs w:val="22"/>
                <w:lang w:eastAsia="en-GB"/>
              </w:rPr>
              <w:t>Cash flow from operating activities</w:t>
            </w:r>
          </w:p>
        </w:tc>
        <w:tc>
          <w:tcPr>
            <w:tcW w:w="2000" w:type="dxa"/>
            <w:tcBorders>
              <w:top w:val="nil"/>
              <w:left w:val="nil"/>
              <w:bottom w:val="nil"/>
              <w:right w:val="nil"/>
            </w:tcBorders>
            <w:shd w:val="clear" w:color="auto" w:fill="auto"/>
            <w:noWrap/>
            <w:vAlign w:val="center"/>
            <w:hideMark/>
          </w:tcPr>
          <w:p w:rsidR="005D74BA" w:rsidRPr="00FE16B2" w:rsidRDefault="005D74BA" w:rsidP="00FE16B2">
            <w:pPr>
              <w:jc w:val="right"/>
              <w:rPr>
                <w:b/>
                <w:bCs/>
                <w:sz w:val="22"/>
                <w:szCs w:val="22"/>
                <w:lang w:eastAsia="en-GB"/>
              </w:rPr>
            </w:pPr>
            <w:r w:rsidRPr="00FE16B2">
              <w:rPr>
                <w:b/>
                <w:bCs/>
                <w:sz w:val="22"/>
                <w:szCs w:val="22"/>
                <w:lang w:eastAsia="en-GB"/>
              </w:rPr>
              <w:t xml:space="preserve">9,742,324   </w:t>
            </w:r>
          </w:p>
        </w:tc>
        <w:tc>
          <w:tcPr>
            <w:tcW w:w="277"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p>
        </w:tc>
        <w:tc>
          <w:tcPr>
            <w:tcW w:w="1675" w:type="dxa"/>
            <w:tcBorders>
              <w:top w:val="nil"/>
              <w:left w:val="nil"/>
              <w:bottom w:val="nil"/>
              <w:right w:val="nil"/>
            </w:tcBorders>
            <w:shd w:val="clear" w:color="auto" w:fill="auto"/>
            <w:noWrap/>
            <w:vAlign w:val="center"/>
            <w:hideMark/>
          </w:tcPr>
          <w:p w:rsidR="005D74BA" w:rsidRPr="00FE16B2" w:rsidRDefault="005D74BA" w:rsidP="00FE16B2">
            <w:pPr>
              <w:jc w:val="right"/>
              <w:rPr>
                <w:sz w:val="22"/>
                <w:szCs w:val="22"/>
                <w:lang w:eastAsia="en-GB"/>
              </w:rPr>
            </w:pPr>
            <w:r w:rsidRPr="00FE16B2">
              <w:rPr>
                <w:sz w:val="22"/>
                <w:szCs w:val="22"/>
                <w:lang w:eastAsia="en-GB"/>
              </w:rPr>
              <w:t xml:space="preserve">6,212,848   </w:t>
            </w:r>
          </w:p>
        </w:tc>
      </w:tr>
      <w:tr w:rsidR="005D74BA" w:rsidRPr="00FE16B2" w:rsidTr="005D74BA">
        <w:trPr>
          <w:trHeight w:val="300"/>
        </w:trPr>
        <w:tc>
          <w:tcPr>
            <w:tcW w:w="5121"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p>
        </w:tc>
        <w:tc>
          <w:tcPr>
            <w:tcW w:w="2000" w:type="dxa"/>
            <w:tcBorders>
              <w:top w:val="nil"/>
              <w:left w:val="nil"/>
              <w:bottom w:val="nil"/>
              <w:right w:val="nil"/>
            </w:tcBorders>
            <w:shd w:val="clear" w:color="auto" w:fill="auto"/>
            <w:noWrap/>
            <w:vAlign w:val="center"/>
            <w:hideMark/>
          </w:tcPr>
          <w:p w:rsidR="005D74BA" w:rsidRPr="00FE16B2" w:rsidRDefault="005D74BA" w:rsidP="00FE16B2">
            <w:pPr>
              <w:jc w:val="right"/>
              <w:rPr>
                <w:b/>
                <w:bCs/>
                <w:sz w:val="22"/>
                <w:szCs w:val="22"/>
                <w:lang w:eastAsia="en-GB"/>
              </w:rPr>
            </w:pPr>
          </w:p>
        </w:tc>
        <w:tc>
          <w:tcPr>
            <w:tcW w:w="277"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p>
        </w:tc>
        <w:tc>
          <w:tcPr>
            <w:tcW w:w="1675" w:type="dxa"/>
            <w:tcBorders>
              <w:top w:val="nil"/>
              <w:left w:val="nil"/>
              <w:bottom w:val="nil"/>
              <w:right w:val="nil"/>
            </w:tcBorders>
            <w:shd w:val="clear" w:color="auto" w:fill="auto"/>
            <w:noWrap/>
            <w:vAlign w:val="center"/>
            <w:hideMark/>
          </w:tcPr>
          <w:p w:rsidR="005D74BA" w:rsidRPr="00FE16B2" w:rsidRDefault="005D74BA" w:rsidP="00FE16B2">
            <w:pPr>
              <w:jc w:val="right"/>
              <w:rPr>
                <w:sz w:val="22"/>
                <w:szCs w:val="22"/>
                <w:lang w:eastAsia="en-GB"/>
              </w:rPr>
            </w:pPr>
          </w:p>
        </w:tc>
      </w:tr>
      <w:tr w:rsidR="005D74BA" w:rsidRPr="00FE16B2" w:rsidTr="005D74BA">
        <w:trPr>
          <w:trHeight w:val="300"/>
        </w:trPr>
        <w:tc>
          <w:tcPr>
            <w:tcW w:w="5121" w:type="dxa"/>
            <w:tcBorders>
              <w:top w:val="nil"/>
              <w:left w:val="nil"/>
              <w:bottom w:val="nil"/>
              <w:right w:val="nil"/>
            </w:tcBorders>
            <w:shd w:val="clear" w:color="auto" w:fill="auto"/>
            <w:noWrap/>
            <w:vAlign w:val="bottom"/>
            <w:hideMark/>
          </w:tcPr>
          <w:p w:rsidR="005D74BA" w:rsidRPr="00FE16B2" w:rsidRDefault="005D74BA" w:rsidP="00FE16B2">
            <w:pPr>
              <w:rPr>
                <w:b/>
                <w:bCs/>
                <w:sz w:val="22"/>
                <w:szCs w:val="22"/>
                <w:lang w:eastAsia="en-GB"/>
              </w:rPr>
            </w:pPr>
            <w:r w:rsidRPr="00FE16B2">
              <w:rPr>
                <w:b/>
                <w:bCs/>
                <w:sz w:val="22"/>
                <w:szCs w:val="22"/>
                <w:lang w:eastAsia="en-GB"/>
              </w:rPr>
              <w:t>Investing Activities</w:t>
            </w:r>
          </w:p>
        </w:tc>
        <w:tc>
          <w:tcPr>
            <w:tcW w:w="2000" w:type="dxa"/>
            <w:tcBorders>
              <w:top w:val="nil"/>
              <w:left w:val="nil"/>
              <w:bottom w:val="nil"/>
              <w:right w:val="nil"/>
            </w:tcBorders>
            <w:shd w:val="clear" w:color="auto" w:fill="auto"/>
            <w:noWrap/>
            <w:vAlign w:val="center"/>
            <w:hideMark/>
          </w:tcPr>
          <w:p w:rsidR="005D74BA" w:rsidRPr="00FE16B2" w:rsidRDefault="005D74BA" w:rsidP="00FE16B2">
            <w:pPr>
              <w:jc w:val="right"/>
              <w:rPr>
                <w:b/>
                <w:bCs/>
                <w:sz w:val="22"/>
                <w:szCs w:val="22"/>
                <w:lang w:eastAsia="en-GB"/>
              </w:rPr>
            </w:pPr>
          </w:p>
        </w:tc>
        <w:tc>
          <w:tcPr>
            <w:tcW w:w="277"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p>
        </w:tc>
        <w:tc>
          <w:tcPr>
            <w:tcW w:w="1675" w:type="dxa"/>
            <w:tcBorders>
              <w:top w:val="nil"/>
              <w:left w:val="nil"/>
              <w:bottom w:val="nil"/>
              <w:right w:val="nil"/>
            </w:tcBorders>
            <w:shd w:val="clear" w:color="auto" w:fill="auto"/>
            <w:noWrap/>
            <w:vAlign w:val="center"/>
            <w:hideMark/>
          </w:tcPr>
          <w:p w:rsidR="005D74BA" w:rsidRPr="00FE16B2" w:rsidRDefault="005D74BA" w:rsidP="00FE16B2">
            <w:pPr>
              <w:jc w:val="right"/>
              <w:rPr>
                <w:sz w:val="22"/>
                <w:szCs w:val="22"/>
                <w:lang w:eastAsia="en-GB"/>
              </w:rPr>
            </w:pPr>
          </w:p>
        </w:tc>
      </w:tr>
      <w:tr w:rsidR="005D74BA" w:rsidRPr="00FE16B2" w:rsidTr="005D74BA">
        <w:trPr>
          <w:trHeight w:val="300"/>
        </w:trPr>
        <w:tc>
          <w:tcPr>
            <w:tcW w:w="5121"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r w:rsidRPr="00FE16B2">
              <w:rPr>
                <w:sz w:val="22"/>
                <w:szCs w:val="22"/>
                <w:lang w:eastAsia="en-GB"/>
              </w:rPr>
              <w:t>Purchase of property, plant and equipment</w:t>
            </w:r>
          </w:p>
        </w:tc>
        <w:tc>
          <w:tcPr>
            <w:tcW w:w="2000" w:type="dxa"/>
            <w:tcBorders>
              <w:top w:val="nil"/>
              <w:left w:val="nil"/>
              <w:bottom w:val="nil"/>
              <w:right w:val="nil"/>
            </w:tcBorders>
            <w:shd w:val="clear" w:color="auto" w:fill="auto"/>
            <w:noWrap/>
            <w:vAlign w:val="center"/>
            <w:hideMark/>
          </w:tcPr>
          <w:p w:rsidR="005D74BA" w:rsidRPr="00FE16B2" w:rsidRDefault="005D74BA" w:rsidP="00FE16B2">
            <w:pPr>
              <w:jc w:val="right"/>
              <w:rPr>
                <w:b/>
                <w:bCs/>
                <w:sz w:val="22"/>
                <w:szCs w:val="22"/>
                <w:lang w:eastAsia="en-GB"/>
              </w:rPr>
            </w:pPr>
            <w:r w:rsidRPr="00FE16B2">
              <w:rPr>
                <w:b/>
                <w:bCs/>
                <w:sz w:val="22"/>
                <w:szCs w:val="22"/>
                <w:lang w:eastAsia="en-GB"/>
              </w:rPr>
              <w:t xml:space="preserve">(20,347)  </w:t>
            </w:r>
          </w:p>
        </w:tc>
        <w:tc>
          <w:tcPr>
            <w:tcW w:w="277"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p>
        </w:tc>
        <w:tc>
          <w:tcPr>
            <w:tcW w:w="1675" w:type="dxa"/>
            <w:tcBorders>
              <w:top w:val="nil"/>
              <w:left w:val="nil"/>
              <w:bottom w:val="nil"/>
              <w:right w:val="nil"/>
            </w:tcBorders>
            <w:shd w:val="clear" w:color="auto" w:fill="auto"/>
            <w:noWrap/>
            <w:vAlign w:val="center"/>
            <w:hideMark/>
          </w:tcPr>
          <w:p w:rsidR="005D74BA" w:rsidRPr="00FE16B2" w:rsidRDefault="005D74BA" w:rsidP="00FE16B2">
            <w:pPr>
              <w:jc w:val="right"/>
              <w:rPr>
                <w:sz w:val="22"/>
                <w:szCs w:val="22"/>
                <w:lang w:eastAsia="en-GB"/>
              </w:rPr>
            </w:pPr>
            <w:r w:rsidRPr="00FE16B2">
              <w:rPr>
                <w:sz w:val="22"/>
                <w:szCs w:val="22"/>
                <w:lang w:eastAsia="en-GB"/>
              </w:rPr>
              <w:t xml:space="preserve">(822)  </w:t>
            </w:r>
          </w:p>
        </w:tc>
      </w:tr>
      <w:tr w:rsidR="005D74BA" w:rsidRPr="00FE16B2" w:rsidTr="005D74BA">
        <w:trPr>
          <w:trHeight w:val="300"/>
        </w:trPr>
        <w:tc>
          <w:tcPr>
            <w:tcW w:w="5121"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r w:rsidRPr="00FE16B2">
              <w:rPr>
                <w:sz w:val="22"/>
                <w:szCs w:val="22"/>
                <w:lang w:eastAsia="en-GB"/>
              </w:rPr>
              <w:t>Sale of investment properties</w:t>
            </w:r>
          </w:p>
        </w:tc>
        <w:tc>
          <w:tcPr>
            <w:tcW w:w="2000" w:type="dxa"/>
            <w:tcBorders>
              <w:top w:val="nil"/>
              <w:left w:val="nil"/>
              <w:bottom w:val="nil"/>
              <w:right w:val="nil"/>
            </w:tcBorders>
            <w:shd w:val="clear" w:color="auto" w:fill="auto"/>
            <w:noWrap/>
            <w:vAlign w:val="center"/>
            <w:hideMark/>
          </w:tcPr>
          <w:p w:rsidR="005D74BA" w:rsidRPr="00FE16B2" w:rsidRDefault="005D74BA" w:rsidP="00FE16B2">
            <w:pPr>
              <w:jc w:val="right"/>
              <w:rPr>
                <w:b/>
                <w:bCs/>
                <w:sz w:val="22"/>
                <w:szCs w:val="22"/>
                <w:lang w:eastAsia="en-GB"/>
              </w:rPr>
            </w:pPr>
            <w:r w:rsidRPr="00FE16B2">
              <w:rPr>
                <w:b/>
                <w:bCs/>
                <w:sz w:val="22"/>
                <w:szCs w:val="22"/>
                <w:lang w:eastAsia="en-GB"/>
              </w:rPr>
              <w:t xml:space="preserve">134,619   </w:t>
            </w:r>
          </w:p>
        </w:tc>
        <w:tc>
          <w:tcPr>
            <w:tcW w:w="277"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p>
        </w:tc>
        <w:tc>
          <w:tcPr>
            <w:tcW w:w="1675" w:type="dxa"/>
            <w:tcBorders>
              <w:top w:val="nil"/>
              <w:left w:val="nil"/>
              <w:bottom w:val="nil"/>
              <w:right w:val="nil"/>
            </w:tcBorders>
            <w:shd w:val="clear" w:color="auto" w:fill="auto"/>
            <w:noWrap/>
            <w:vAlign w:val="center"/>
            <w:hideMark/>
          </w:tcPr>
          <w:p w:rsidR="005D74BA" w:rsidRPr="00FE16B2" w:rsidRDefault="005D74BA" w:rsidP="00FE16B2">
            <w:pPr>
              <w:jc w:val="right"/>
              <w:rPr>
                <w:sz w:val="22"/>
                <w:szCs w:val="22"/>
                <w:lang w:eastAsia="en-GB"/>
              </w:rPr>
            </w:pPr>
            <w:r w:rsidRPr="00FE16B2">
              <w:rPr>
                <w:sz w:val="22"/>
                <w:szCs w:val="22"/>
                <w:lang w:eastAsia="en-GB"/>
              </w:rPr>
              <w:t xml:space="preserve">357,512   </w:t>
            </w:r>
          </w:p>
        </w:tc>
      </w:tr>
      <w:tr w:rsidR="005D74BA" w:rsidRPr="00FE16B2" w:rsidTr="005D74BA">
        <w:trPr>
          <w:trHeight w:val="345"/>
        </w:trPr>
        <w:tc>
          <w:tcPr>
            <w:tcW w:w="5121" w:type="dxa"/>
            <w:tcBorders>
              <w:top w:val="nil"/>
              <w:left w:val="nil"/>
              <w:bottom w:val="nil"/>
              <w:right w:val="nil"/>
            </w:tcBorders>
            <w:shd w:val="clear" w:color="auto" w:fill="auto"/>
            <w:noWrap/>
            <w:vAlign w:val="center"/>
            <w:hideMark/>
          </w:tcPr>
          <w:p w:rsidR="005D74BA" w:rsidRPr="00FE16B2" w:rsidRDefault="005D74BA" w:rsidP="00FE16B2">
            <w:pPr>
              <w:rPr>
                <w:b/>
                <w:bCs/>
                <w:sz w:val="22"/>
                <w:szCs w:val="22"/>
                <w:lang w:eastAsia="en-GB"/>
              </w:rPr>
            </w:pPr>
            <w:r w:rsidRPr="00FE16B2">
              <w:rPr>
                <w:b/>
                <w:bCs/>
                <w:sz w:val="22"/>
                <w:szCs w:val="22"/>
                <w:lang w:eastAsia="en-GB"/>
              </w:rPr>
              <w:t>Cash flow from investing activities</w:t>
            </w:r>
          </w:p>
        </w:tc>
        <w:tc>
          <w:tcPr>
            <w:tcW w:w="2000" w:type="dxa"/>
            <w:tcBorders>
              <w:top w:val="single" w:sz="4" w:space="0" w:color="auto"/>
              <w:left w:val="nil"/>
              <w:bottom w:val="single" w:sz="4" w:space="0" w:color="auto"/>
              <w:right w:val="nil"/>
            </w:tcBorders>
            <w:shd w:val="clear" w:color="auto" w:fill="auto"/>
            <w:noWrap/>
            <w:vAlign w:val="center"/>
            <w:hideMark/>
          </w:tcPr>
          <w:p w:rsidR="005D74BA" w:rsidRPr="00FE16B2" w:rsidRDefault="005D74BA" w:rsidP="00FE16B2">
            <w:pPr>
              <w:jc w:val="right"/>
              <w:rPr>
                <w:b/>
                <w:bCs/>
                <w:sz w:val="22"/>
                <w:szCs w:val="22"/>
                <w:lang w:eastAsia="en-GB"/>
              </w:rPr>
            </w:pPr>
            <w:r w:rsidRPr="00FE16B2">
              <w:rPr>
                <w:b/>
                <w:bCs/>
                <w:sz w:val="22"/>
                <w:szCs w:val="22"/>
                <w:lang w:eastAsia="en-GB"/>
              </w:rPr>
              <w:t xml:space="preserve">114,272   </w:t>
            </w:r>
          </w:p>
        </w:tc>
        <w:tc>
          <w:tcPr>
            <w:tcW w:w="277"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p>
        </w:tc>
        <w:tc>
          <w:tcPr>
            <w:tcW w:w="1675" w:type="dxa"/>
            <w:tcBorders>
              <w:top w:val="single" w:sz="4" w:space="0" w:color="auto"/>
              <w:left w:val="nil"/>
              <w:bottom w:val="single" w:sz="4" w:space="0" w:color="auto"/>
              <w:right w:val="nil"/>
            </w:tcBorders>
            <w:shd w:val="clear" w:color="auto" w:fill="auto"/>
            <w:noWrap/>
            <w:vAlign w:val="center"/>
            <w:hideMark/>
          </w:tcPr>
          <w:p w:rsidR="005D74BA" w:rsidRPr="00FE16B2" w:rsidRDefault="005D74BA" w:rsidP="00FE16B2">
            <w:pPr>
              <w:jc w:val="right"/>
              <w:rPr>
                <w:sz w:val="22"/>
                <w:szCs w:val="22"/>
                <w:lang w:eastAsia="en-GB"/>
              </w:rPr>
            </w:pPr>
            <w:r w:rsidRPr="00FE16B2">
              <w:rPr>
                <w:sz w:val="22"/>
                <w:szCs w:val="22"/>
                <w:lang w:eastAsia="en-GB"/>
              </w:rPr>
              <w:t xml:space="preserve">356,690   </w:t>
            </w:r>
          </w:p>
        </w:tc>
      </w:tr>
      <w:tr w:rsidR="005D74BA" w:rsidRPr="00FE16B2" w:rsidTr="005D74BA">
        <w:trPr>
          <w:trHeight w:val="435"/>
        </w:trPr>
        <w:tc>
          <w:tcPr>
            <w:tcW w:w="5121" w:type="dxa"/>
            <w:tcBorders>
              <w:top w:val="nil"/>
              <w:left w:val="nil"/>
              <w:bottom w:val="nil"/>
              <w:right w:val="nil"/>
            </w:tcBorders>
            <w:shd w:val="clear" w:color="auto" w:fill="auto"/>
            <w:noWrap/>
            <w:vAlign w:val="bottom"/>
            <w:hideMark/>
          </w:tcPr>
          <w:p w:rsidR="005D74BA" w:rsidRPr="00FE16B2" w:rsidRDefault="005D74BA" w:rsidP="00FE16B2">
            <w:pPr>
              <w:rPr>
                <w:b/>
                <w:bCs/>
                <w:sz w:val="22"/>
                <w:szCs w:val="22"/>
                <w:lang w:eastAsia="en-GB"/>
              </w:rPr>
            </w:pPr>
            <w:r w:rsidRPr="00FE16B2">
              <w:rPr>
                <w:b/>
                <w:bCs/>
                <w:sz w:val="22"/>
                <w:szCs w:val="22"/>
                <w:lang w:eastAsia="en-GB"/>
              </w:rPr>
              <w:t>Financing activities</w:t>
            </w:r>
          </w:p>
        </w:tc>
        <w:tc>
          <w:tcPr>
            <w:tcW w:w="2000" w:type="dxa"/>
            <w:tcBorders>
              <w:top w:val="nil"/>
              <w:left w:val="nil"/>
              <w:bottom w:val="nil"/>
              <w:right w:val="nil"/>
            </w:tcBorders>
            <w:shd w:val="clear" w:color="auto" w:fill="auto"/>
            <w:noWrap/>
            <w:vAlign w:val="center"/>
            <w:hideMark/>
          </w:tcPr>
          <w:p w:rsidR="005D74BA" w:rsidRPr="00FE16B2" w:rsidRDefault="005D74BA" w:rsidP="00FE16B2">
            <w:pPr>
              <w:rPr>
                <w:b/>
                <w:bCs/>
                <w:sz w:val="22"/>
                <w:szCs w:val="22"/>
                <w:lang w:eastAsia="en-GB"/>
              </w:rPr>
            </w:pPr>
          </w:p>
        </w:tc>
        <w:tc>
          <w:tcPr>
            <w:tcW w:w="277"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p>
        </w:tc>
        <w:tc>
          <w:tcPr>
            <w:tcW w:w="1675"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p>
        </w:tc>
      </w:tr>
      <w:tr w:rsidR="005D74BA" w:rsidRPr="00FE16B2" w:rsidTr="005D74BA">
        <w:trPr>
          <w:trHeight w:val="300"/>
        </w:trPr>
        <w:tc>
          <w:tcPr>
            <w:tcW w:w="5121"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r w:rsidRPr="00FE16B2">
              <w:rPr>
                <w:sz w:val="22"/>
                <w:szCs w:val="22"/>
                <w:lang w:eastAsia="en-GB"/>
              </w:rPr>
              <w:t>Interest paid</w:t>
            </w:r>
          </w:p>
        </w:tc>
        <w:tc>
          <w:tcPr>
            <w:tcW w:w="2000" w:type="dxa"/>
            <w:tcBorders>
              <w:top w:val="nil"/>
              <w:left w:val="nil"/>
              <w:bottom w:val="nil"/>
              <w:right w:val="nil"/>
            </w:tcBorders>
            <w:shd w:val="clear" w:color="auto" w:fill="auto"/>
            <w:noWrap/>
            <w:vAlign w:val="center"/>
            <w:hideMark/>
          </w:tcPr>
          <w:p w:rsidR="005D74BA" w:rsidRPr="00FE16B2" w:rsidRDefault="005D74BA" w:rsidP="00FE16B2">
            <w:pPr>
              <w:jc w:val="right"/>
              <w:rPr>
                <w:b/>
                <w:bCs/>
                <w:sz w:val="22"/>
                <w:szCs w:val="22"/>
                <w:lang w:eastAsia="en-GB"/>
              </w:rPr>
            </w:pPr>
            <w:r w:rsidRPr="00FE16B2">
              <w:rPr>
                <w:b/>
                <w:bCs/>
                <w:sz w:val="22"/>
                <w:szCs w:val="22"/>
                <w:lang w:eastAsia="en-GB"/>
              </w:rPr>
              <w:t xml:space="preserve">(923,679)  </w:t>
            </w:r>
          </w:p>
        </w:tc>
        <w:tc>
          <w:tcPr>
            <w:tcW w:w="277"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p>
        </w:tc>
        <w:tc>
          <w:tcPr>
            <w:tcW w:w="1675" w:type="dxa"/>
            <w:tcBorders>
              <w:top w:val="nil"/>
              <w:left w:val="nil"/>
              <w:bottom w:val="nil"/>
              <w:right w:val="nil"/>
            </w:tcBorders>
            <w:shd w:val="clear" w:color="auto" w:fill="auto"/>
            <w:noWrap/>
            <w:vAlign w:val="center"/>
            <w:hideMark/>
          </w:tcPr>
          <w:p w:rsidR="005D74BA" w:rsidRPr="00FE16B2" w:rsidRDefault="005D74BA" w:rsidP="00FE16B2">
            <w:pPr>
              <w:jc w:val="right"/>
              <w:rPr>
                <w:sz w:val="22"/>
                <w:szCs w:val="22"/>
                <w:lang w:eastAsia="en-GB"/>
              </w:rPr>
            </w:pPr>
            <w:r w:rsidRPr="00FE16B2">
              <w:rPr>
                <w:sz w:val="22"/>
                <w:szCs w:val="22"/>
                <w:lang w:eastAsia="en-GB"/>
              </w:rPr>
              <w:t xml:space="preserve">(2,016,957)  </w:t>
            </w:r>
          </w:p>
        </w:tc>
      </w:tr>
      <w:tr w:rsidR="005D74BA" w:rsidRPr="00FE16B2" w:rsidTr="005D74BA">
        <w:trPr>
          <w:trHeight w:val="300"/>
        </w:trPr>
        <w:tc>
          <w:tcPr>
            <w:tcW w:w="5121"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r w:rsidRPr="00FE16B2">
              <w:rPr>
                <w:sz w:val="22"/>
                <w:szCs w:val="22"/>
                <w:lang w:eastAsia="en-GB"/>
              </w:rPr>
              <w:t>Dividends paid to Shareholders</w:t>
            </w:r>
          </w:p>
        </w:tc>
        <w:tc>
          <w:tcPr>
            <w:tcW w:w="2000" w:type="dxa"/>
            <w:tcBorders>
              <w:top w:val="nil"/>
              <w:left w:val="nil"/>
              <w:bottom w:val="nil"/>
              <w:right w:val="nil"/>
            </w:tcBorders>
            <w:shd w:val="clear" w:color="auto" w:fill="auto"/>
            <w:noWrap/>
            <w:vAlign w:val="center"/>
            <w:hideMark/>
          </w:tcPr>
          <w:p w:rsidR="005D74BA" w:rsidRPr="00FE16B2" w:rsidRDefault="005D74BA" w:rsidP="00FE16B2">
            <w:pPr>
              <w:jc w:val="right"/>
              <w:rPr>
                <w:b/>
                <w:bCs/>
                <w:sz w:val="22"/>
                <w:szCs w:val="22"/>
                <w:lang w:eastAsia="en-GB"/>
              </w:rPr>
            </w:pPr>
            <w:r w:rsidRPr="00FE16B2">
              <w:rPr>
                <w:b/>
                <w:bCs/>
                <w:sz w:val="22"/>
                <w:szCs w:val="22"/>
                <w:lang w:eastAsia="en-GB"/>
              </w:rPr>
              <w:t xml:space="preserve">(1,508,710)  </w:t>
            </w:r>
          </w:p>
        </w:tc>
        <w:tc>
          <w:tcPr>
            <w:tcW w:w="277"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p>
        </w:tc>
        <w:tc>
          <w:tcPr>
            <w:tcW w:w="1675" w:type="dxa"/>
            <w:tcBorders>
              <w:top w:val="nil"/>
              <w:left w:val="nil"/>
              <w:bottom w:val="nil"/>
              <w:right w:val="nil"/>
            </w:tcBorders>
            <w:shd w:val="clear" w:color="auto" w:fill="auto"/>
            <w:noWrap/>
            <w:vAlign w:val="center"/>
            <w:hideMark/>
          </w:tcPr>
          <w:p w:rsidR="005D74BA" w:rsidRPr="00FE16B2" w:rsidRDefault="005D74BA" w:rsidP="00FE16B2">
            <w:pPr>
              <w:jc w:val="right"/>
              <w:rPr>
                <w:sz w:val="22"/>
                <w:szCs w:val="22"/>
                <w:lang w:eastAsia="en-GB"/>
              </w:rPr>
            </w:pPr>
            <w:r w:rsidRPr="00FE16B2">
              <w:rPr>
                <w:sz w:val="22"/>
                <w:szCs w:val="22"/>
                <w:lang w:eastAsia="en-GB"/>
              </w:rPr>
              <w:t xml:space="preserve">(1,443,400)  </w:t>
            </w:r>
          </w:p>
        </w:tc>
      </w:tr>
      <w:tr w:rsidR="005D74BA" w:rsidRPr="00FE16B2" w:rsidTr="005D74BA">
        <w:trPr>
          <w:trHeight w:val="300"/>
        </w:trPr>
        <w:tc>
          <w:tcPr>
            <w:tcW w:w="5121"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r w:rsidRPr="00FE16B2">
              <w:rPr>
                <w:sz w:val="22"/>
                <w:szCs w:val="22"/>
                <w:lang w:eastAsia="en-GB"/>
              </w:rPr>
              <w:t>Repayment of mortgages</w:t>
            </w:r>
          </w:p>
        </w:tc>
        <w:tc>
          <w:tcPr>
            <w:tcW w:w="2000" w:type="dxa"/>
            <w:tcBorders>
              <w:top w:val="nil"/>
              <w:left w:val="nil"/>
              <w:bottom w:val="nil"/>
              <w:right w:val="nil"/>
            </w:tcBorders>
            <w:shd w:val="clear" w:color="auto" w:fill="auto"/>
            <w:noWrap/>
            <w:vAlign w:val="center"/>
            <w:hideMark/>
          </w:tcPr>
          <w:p w:rsidR="005D74BA" w:rsidRPr="00FE16B2" w:rsidRDefault="005D74BA" w:rsidP="00FE16B2">
            <w:pPr>
              <w:jc w:val="right"/>
              <w:rPr>
                <w:b/>
                <w:bCs/>
                <w:sz w:val="22"/>
                <w:szCs w:val="22"/>
                <w:lang w:eastAsia="en-GB"/>
              </w:rPr>
            </w:pPr>
            <w:r w:rsidRPr="00FE16B2">
              <w:rPr>
                <w:b/>
                <w:bCs/>
                <w:sz w:val="22"/>
                <w:szCs w:val="22"/>
                <w:lang w:eastAsia="en-GB"/>
              </w:rPr>
              <w:t xml:space="preserve">-   </w:t>
            </w:r>
          </w:p>
        </w:tc>
        <w:tc>
          <w:tcPr>
            <w:tcW w:w="277"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p>
        </w:tc>
        <w:tc>
          <w:tcPr>
            <w:tcW w:w="1675" w:type="dxa"/>
            <w:tcBorders>
              <w:top w:val="nil"/>
              <w:left w:val="nil"/>
              <w:bottom w:val="nil"/>
              <w:right w:val="nil"/>
            </w:tcBorders>
            <w:shd w:val="clear" w:color="auto" w:fill="auto"/>
            <w:noWrap/>
            <w:vAlign w:val="center"/>
            <w:hideMark/>
          </w:tcPr>
          <w:p w:rsidR="005D74BA" w:rsidRPr="00FE16B2" w:rsidRDefault="005D74BA" w:rsidP="00FE16B2">
            <w:pPr>
              <w:jc w:val="right"/>
              <w:rPr>
                <w:sz w:val="22"/>
                <w:szCs w:val="22"/>
                <w:lang w:eastAsia="en-GB"/>
              </w:rPr>
            </w:pPr>
            <w:r w:rsidRPr="00FE16B2">
              <w:rPr>
                <w:sz w:val="22"/>
                <w:szCs w:val="22"/>
                <w:lang w:eastAsia="en-GB"/>
              </w:rPr>
              <w:t xml:space="preserve">(307,760)  </w:t>
            </w:r>
          </w:p>
        </w:tc>
      </w:tr>
      <w:tr w:rsidR="005D74BA" w:rsidRPr="00FE16B2" w:rsidTr="005D74BA">
        <w:trPr>
          <w:trHeight w:val="405"/>
        </w:trPr>
        <w:tc>
          <w:tcPr>
            <w:tcW w:w="5121" w:type="dxa"/>
            <w:tcBorders>
              <w:top w:val="nil"/>
              <w:left w:val="nil"/>
              <w:bottom w:val="nil"/>
              <w:right w:val="nil"/>
            </w:tcBorders>
            <w:shd w:val="clear" w:color="auto" w:fill="auto"/>
            <w:noWrap/>
            <w:vAlign w:val="center"/>
            <w:hideMark/>
          </w:tcPr>
          <w:p w:rsidR="005D74BA" w:rsidRPr="00FE16B2" w:rsidRDefault="005D74BA" w:rsidP="00FE16B2">
            <w:pPr>
              <w:rPr>
                <w:b/>
                <w:bCs/>
                <w:sz w:val="22"/>
                <w:szCs w:val="22"/>
                <w:lang w:eastAsia="en-GB"/>
              </w:rPr>
            </w:pPr>
            <w:r w:rsidRPr="00FE16B2">
              <w:rPr>
                <w:b/>
                <w:bCs/>
                <w:sz w:val="22"/>
                <w:szCs w:val="22"/>
                <w:lang w:eastAsia="en-GB"/>
              </w:rPr>
              <w:t>Cash flow from financing activities</w:t>
            </w:r>
          </w:p>
        </w:tc>
        <w:tc>
          <w:tcPr>
            <w:tcW w:w="2000" w:type="dxa"/>
            <w:tcBorders>
              <w:top w:val="single" w:sz="4" w:space="0" w:color="auto"/>
              <w:left w:val="nil"/>
              <w:bottom w:val="single" w:sz="4" w:space="0" w:color="auto"/>
              <w:right w:val="nil"/>
            </w:tcBorders>
            <w:shd w:val="clear" w:color="auto" w:fill="auto"/>
            <w:noWrap/>
            <w:vAlign w:val="center"/>
            <w:hideMark/>
          </w:tcPr>
          <w:p w:rsidR="005D74BA" w:rsidRPr="00FE16B2" w:rsidRDefault="005D74BA" w:rsidP="00FE16B2">
            <w:pPr>
              <w:jc w:val="right"/>
              <w:rPr>
                <w:b/>
                <w:bCs/>
                <w:sz w:val="22"/>
                <w:szCs w:val="22"/>
                <w:lang w:eastAsia="en-GB"/>
              </w:rPr>
            </w:pPr>
            <w:r w:rsidRPr="00FE16B2">
              <w:rPr>
                <w:b/>
                <w:bCs/>
                <w:sz w:val="22"/>
                <w:szCs w:val="22"/>
                <w:lang w:eastAsia="en-GB"/>
              </w:rPr>
              <w:t xml:space="preserve">(2,432,389)  </w:t>
            </w:r>
          </w:p>
        </w:tc>
        <w:tc>
          <w:tcPr>
            <w:tcW w:w="277"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p>
        </w:tc>
        <w:tc>
          <w:tcPr>
            <w:tcW w:w="1675" w:type="dxa"/>
            <w:tcBorders>
              <w:top w:val="single" w:sz="4" w:space="0" w:color="auto"/>
              <w:left w:val="nil"/>
              <w:bottom w:val="single" w:sz="4" w:space="0" w:color="auto"/>
              <w:right w:val="nil"/>
            </w:tcBorders>
            <w:shd w:val="clear" w:color="auto" w:fill="auto"/>
            <w:noWrap/>
            <w:vAlign w:val="center"/>
            <w:hideMark/>
          </w:tcPr>
          <w:p w:rsidR="005D74BA" w:rsidRPr="00FE16B2" w:rsidRDefault="005D74BA" w:rsidP="00FE16B2">
            <w:pPr>
              <w:jc w:val="right"/>
              <w:rPr>
                <w:sz w:val="22"/>
                <w:szCs w:val="22"/>
                <w:lang w:eastAsia="en-GB"/>
              </w:rPr>
            </w:pPr>
            <w:r w:rsidRPr="00FE16B2">
              <w:rPr>
                <w:sz w:val="22"/>
                <w:szCs w:val="22"/>
                <w:lang w:eastAsia="en-GB"/>
              </w:rPr>
              <w:t xml:space="preserve">(3,768,117)  </w:t>
            </w:r>
          </w:p>
        </w:tc>
      </w:tr>
      <w:tr w:rsidR="005D74BA" w:rsidRPr="00FE16B2" w:rsidTr="005D74BA">
        <w:trPr>
          <w:trHeight w:val="420"/>
        </w:trPr>
        <w:tc>
          <w:tcPr>
            <w:tcW w:w="5121" w:type="dxa"/>
            <w:tcBorders>
              <w:top w:val="nil"/>
              <w:left w:val="nil"/>
              <w:bottom w:val="nil"/>
              <w:right w:val="nil"/>
            </w:tcBorders>
            <w:shd w:val="clear" w:color="auto" w:fill="auto"/>
            <w:noWrap/>
            <w:vAlign w:val="center"/>
            <w:hideMark/>
          </w:tcPr>
          <w:p w:rsidR="005D74BA" w:rsidRPr="00FE16B2" w:rsidRDefault="005D74BA" w:rsidP="00FE16B2">
            <w:pPr>
              <w:rPr>
                <w:b/>
                <w:bCs/>
                <w:sz w:val="22"/>
                <w:szCs w:val="22"/>
                <w:lang w:eastAsia="en-GB"/>
              </w:rPr>
            </w:pPr>
            <w:r w:rsidRPr="00FE16B2">
              <w:rPr>
                <w:b/>
                <w:bCs/>
                <w:sz w:val="22"/>
                <w:szCs w:val="22"/>
                <w:lang w:eastAsia="en-GB"/>
              </w:rPr>
              <w:t>Net decrease in cash and cash equivalents</w:t>
            </w:r>
          </w:p>
        </w:tc>
        <w:tc>
          <w:tcPr>
            <w:tcW w:w="2000" w:type="dxa"/>
            <w:tcBorders>
              <w:top w:val="nil"/>
              <w:left w:val="nil"/>
              <w:bottom w:val="single" w:sz="4" w:space="0" w:color="auto"/>
              <w:right w:val="nil"/>
            </w:tcBorders>
            <w:shd w:val="clear" w:color="auto" w:fill="auto"/>
            <w:noWrap/>
            <w:vAlign w:val="center"/>
            <w:hideMark/>
          </w:tcPr>
          <w:p w:rsidR="005D74BA" w:rsidRPr="00FE16B2" w:rsidRDefault="005D74BA" w:rsidP="00FE16B2">
            <w:pPr>
              <w:jc w:val="right"/>
              <w:rPr>
                <w:b/>
                <w:bCs/>
                <w:sz w:val="22"/>
                <w:szCs w:val="22"/>
                <w:lang w:eastAsia="en-GB"/>
              </w:rPr>
            </w:pPr>
            <w:r w:rsidRPr="00FE16B2">
              <w:rPr>
                <w:b/>
                <w:bCs/>
                <w:sz w:val="22"/>
                <w:szCs w:val="22"/>
                <w:lang w:eastAsia="en-GB"/>
              </w:rPr>
              <w:t xml:space="preserve">7,424,207   </w:t>
            </w:r>
          </w:p>
        </w:tc>
        <w:tc>
          <w:tcPr>
            <w:tcW w:w="277"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p>
        </w:tc>
        <w:tc>
          <w:tcPr>
            <w:tcW w:w="1675" w:type="dxa"/>
            <w:tcBorders>
              <w:top w:val="nil"/>
              <w:left w:val="nil"/>
              <w:bottom w:val="single" w:sz="4" w:space="0" w:color="auto"/>
              <w:right w:val="nil"/>
            </w:tcBorders>
            <w:shd w:val="clear" w:color="auto" w:fill="auto"/>
            <w:noWrap/>
            <w:vAlign w:val="center"/>
            <w:hideMark/>
          </w:tcPr>
          <w:p w:rsidR="005D74BA" w:rsidRPr="00FE16B2" w:rsidRDefault="005D74BA" w:rsidP="00FE16B2">
            <w:pPr>
              <w:jc w:val="right"/>
              <w:rPr>
                <w:sz w:val="22"/>
                <w:szCs w:val="22"/>
                <w:lang w:eastAsia="en-GB"/>
              </w:rPr>
            </w:pPr>
            <w:r w:rsidRPr="00FE16B2">
              <w:rPr>
                <w:sz w:val="22"/>
                <w:szCs w:val="22"/>
                <w:lang w:eastAsia="en-GB"/>
              </w:rPr>
              <w:t xml:space="preserve">2,801,421   </w:t>
            </w:r>
          </w:p>
        </w:tc>
      </w:tr>
      <w:tr w:rsidR="005D74BA" w:rsidRPr="00FE16B2" w:rsidTr="005D74BA">
        <w:trPr>
          <w:trHeight w:val="465"/>
        </w:trPr>
        <w:tc>
          <w:tcPr>
            <w:tcW w:w="5121" w:type="dxa"/>
            <w:tcBorders>
              <w:top w:val="nil"/>
              <w:left w:val="nil"/>
              <w:bottom w:val="nil"/>
              <w:right w:val="nil"/>
            </w:tcBorders>
            <w:shd w:val="clear" w:color="auto" w:fill="auto"/>
            <w:noWrap/>
            <w:vAlign w:val="bottom"/>
            <w:hideMark/>
          </w:tcPr>
          <w:p w:rsidR="005D74BA" w:rsidRPr="00FE16B2" w:rsidRDefault="005D74BA" w:rsidP="00FE16B2">
            <w:pPr>
              <w:rPr>
                <w:b/>
                <w:bCs/>
                <w:sz w:val="22"/>
                <w:szCs w:val="22"/>
                <w:lang w:eastAsia="en-GB"/>
              </w:rPr>
            </w:pPr>
            <w:r w:rsidRPr="00FE16B2">
              <w:rPr>
                <w:b/>
                <w:bCs/>
                <w:sz w:val="22"/>
                <w:szCs w:val="22"/>
                <w:lang w:eastAsia="en-GB"/>
              </w:rPr>
              <w:t>Cash and cash equivalents at 30 June</w:t>
            </w:r>
          </w:p>
        </w:tc>
        <w:tc>
          <w:tcPr>
            <w:tcW w:w="2000" w:type="dxa"/>
            <w:tcBorders>
              <w:top w:val="nil"/>
              <w:left w:val="nil"/>
              <w:bottom w:val="nil"/>
              <w:right w:val="nil"/>
            </w:tcBorders>
            <w:shd w:val="clear" w:color="auto" w:fill="auto"/>
            <w:noWrap/>
            <w:vAlign w:val="bottom"/>
            <w:hideMark/>
          </w:tcPr>
          <w:p w:rsidR="005D74BA" w:rsidRPr="00FE16B2" w:rsidRDefault="005D74BA" w:rsidP="00A35FBF">
            <w:pPr>
              <w:jc w:val="right"/>
              <w:rPr>
                <w:b/>
                <w:bCs/>
                <w:sz w:val="22"/>
                <w:szCs w:val="22"/>
                <w:lang w:eastAsia="en-GB"/>
              </w:rPr>
            </w:pPr>
            <w:r w:rsidRPr="00FE16B2">
              <w:rPr>
                <w:b/>
                <w:bCs/>
                <w:sz w:val="22"/>
                <w:szCs w:val="22"/>
                <w:lang w:eastAsia="en-GB"/>
              </w:rPr>
              <w:t>(</w:t>
            </w:r>
            <w:r w:rsidR="00A35FBF">
              <w:rPr>
                <w:b/>
                <w:bCs/>
                <w:sz w:val="22"/>
                <w:szCs w:val="22"/>
                <w:lang w:eastAsia="en-GB"/>
              </w:rPr>
              <w:t>12</w:t>
            </w:r>
            <w:r w:rsidRPr="00FE16B2">
              <w:rPr>
                <w:b/>
                <w:bCs/>
                <w:sz w:val="22"/>
                <w:szCs w:val="22"/>
                <w:lang w:eastAsia="en-GB"/>
              </w:rPr>
              <w:t xml:space="preserve">,371,588)  </w:t>
            </w:r>
          </w:p>
        </w:tc>
        <w:tc>
          <w:tcPr>
            <w:tcW w:w="277" w:type="dxa"/>
            <w:tcBorders>
              <w:top w:val="nil"/>
              <w:left w:val="nil"/>
              <w:bottom w:val="nil"/>
              <w:right w:val="nil"/>
            </w:tcBorders>
            <w:shd w:val="clear" w:color="auto" w:fill="auto"/>
            <w:noWrap/>
            <w:vAlign w:val="bottom"/>
            <w:hideMark/>
          </w:tcPr>
          <w:p w:rsidR="005D74BA" w:rsidRPr="00FE16B2" w:rsidRDefault="005D74BA" w:rsidP="00FE16B2">
            <w:pPr>
              <w:rPr>
                <w:sz w:val="22"/>
                <w:szCs w:val="22"/>
                <w:lang w:eastAsia="en-GB"/>
              </w:rPr>
            </w:pPr>
          </w:p>
        </w:tc>
        <w:tc>
          <w:tcPr>
            <w:tcW w:w="1675" w:type="dxa"/>
            <w:tcBorders>
              <w:top w:val="nil"/>
              <w:left w:val="nil"/>
              <w:bottom w:val="nil"/>
              <w:right w:val="nil"/>
            </w:tcBorders>
            <w:shd w:val="clear" w:color="auto" w:fill="auto"/>
            <w:noWrap/>
            <w:vAlign w:val="bottom"/>
            <w:hideMark/>
          </w:tcPr>
          <w:p w:rsidR="005D74BA" w:rsidRPr="00FE16B2" w:rsidRDefault="005D74BA" w:rsidP="00A35FBF">
            <w:pPr>
              <w:jc w:val="right"/>
              <w:rPr>
                <w:sz w:val="22"/>
                <w:szCs w:val="22"/>
                <w:lang w:eastAsia="en-GB"/>
              </w:rPr>
            </w:pPr>
            <w:r w:rsidRPr="00FE16B2">
              <w:rPr>
                <w:sz w:val="22"/>
                <w:szCs w:val="22"/>
                <w:lang w:eastAsia="en-GB"/>
              </w:rPr>
              <w:t>(</w:t>
            </w:r>
            <w:r w:rsidR="00A35FBF">
              <w:rPr>
                <w:sz w:val="22"/>
                <w:szCs w:val="22"/>
                <w:lang w:eastAsia="en-GB"/>
              </w:rPr>
              <w:t>15</w:t>
            </w:r>
            <w:r w:rsidRPr="00FE16B2">
              <w:rPr>
                <w:sz w:val="22"/>
                <w:szCs w:val="22"/>
                <w:lang w:eastAsia="en-GB"/>
              </w:rPr>
              <w:t xml:space="preserve">,891,807)  </w:t>
            </w:r>
          </w:p>
        </w:tc>
      </w:tr>
      <w:tr w:rsidR="005D74BA" w:rsidRPr="00FE16B2" w:rsidTr="005D74BA">
        <w:trPr>
          <w:trHeight w:val="375"/>
        </w:trPr>
        <w:tc>
          <w:tcPr>
            <w:tcW w:w="5121"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r w:rsidRPr="00FE16B2">
              <w:rPr>
                <w:sz w:val="22"/>
                <w:szCs w:val="22"/>
                <w:lang w:eastAsia="en-GB"/>
              </w:rPr>
              <w:t>Effect of foreign exchange rate changes</w:t>
            </w:r>
          </w:p>
        </w:tc>
        <w:tc>
          <w:tcPr>
            <w:tcW w:w="2000" w:type="dxa"/>
            <w:tcBorders>
              <w:top w:val="nil"/>
              <w:left w:val="nil"/>
              <w:bottom w:val="nil"/>
              <w:right w:val="nil"/>
            </w:tcBorders>
            <w:shd w:val="clear" w:color="auto" w:fill="auto"/>
            <w:noWrap/>
            <w:vAlign w:val="center"/>
            <w:hideMark/>
          </w:tcPr>
          <w:p w:rsidR="005D74BA" w:rsidRPr="00FE16B2" w:rsidRDefault="005D74BA" w:rsidP="00FE16B2">
            <w:pPr>
              <w:jc w:val="right"/>
              <w:rPr>
                <w:b/>
                <w:bCs/>
                <w:sz w:val="22"/>
                <w:szCs w:val="22"/>
                <w:lang w:eastAsia="en-GB"/>
              </w:rPr>
            </w:pPr>
            <w:r w:rsidRPr="00FE16B2">
              <w:rPr>
                <w:b/>
                <w:bCs/>
                <w:sz w:val="22"/>
                <w:szCs w:val="22"/>
                <w:lang w:eastAsia="en-GB"/>
              </w:rPr>
              <w:t xml:space="preserve">(1,408,118)  </w:t>
            </w:r>
          </w:p>
        </w:tc>
        <w:tc>
          <w:tcPr>
            <w:tcW w:w="277"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p>
        </w:tc>
        <w:tc>
          <w:tcPr>
            <w:tcW w:w="1675" w:type="dxa"/>
            <w:tcBorders>
              <w:top w:val="nil"/>
              <w:left w:val="nil"/>
              <w:bottom w:val="nil"/>
              <w:right w:val="nil"/>
            </w:tcBorders>
            <w:shd w:val="clear" w:color="auto" w:fill="auto"/>
            <w:noWrap/>
            <w:vAlign w:val="center"/>
            <w:hideMark/>
          </w:tcPr>
          <w:p w:rsidR="005D74BA" w:rsidRPr="00FE16B2" w:rsidRDefault="005D74BA" w:rsidP="00FE16B2">
            <w:pPr>
              <w:jc w:val="right"/>
              <w:rPr>
                <w:sz w:val="22"/>
                <w:szCs w:val="22"/>
                <w:lang w:eastAsia="en-GB"/>
              </w:rPr>
            </w:pPr>
            <w:r w:rsidRPr="00FE16B2">
              <w:rPr>
                <w:sz w:val="22"/>
                <w:szCs w:val="22"/>
                <w:lang w:eastAsia="en-GB"/>
              </w:rPr>
              <w:t xml:space="preserve">718,798   </w:t>
            </w:r>
          </w:p>
        </w:tc>
      </w:tr>
      <w:tr w:rsidR="005D74BA" w:rsidRPr="00FE16B2" w:rsidTr="005D74BA">
        <w:trPr>
          <w:trHeight w:val="435"/>
        </w:trPr>
        <w:tc>
          <w:tcPr>
            <w:tcW w:w="5121" w:type="dxa"/>
            <w:tcBorders>
              <w:top w:val="nil"/>
              <w:left w:val="nil"/>
              <w:bottom w:val="nil"/>
              <w:right w:val="nil"/>
            </w:tcBorders>
            <w:shd w:val="clear" w:color="auto" w:fill="auto"/>
            <w:noWrap/>
            <w:vAlign w:val="center"/>
            <w:hideMark/>
          </w:tcPr>
          <w:p w:rsidR="005D74BA" w:rsidRPr="00FE16B2" w:rsidRDefault="005D74BA" w:rsidP="00FE16B2">
            <w:pPr>
              <w:rPr>
                <w:b/>
                <w:bCs/>
                <w:sz w:val="22"/>
                <w:szCs w:val="22"/>
                <w:lang w:eastAsia="en-GB"/>
              </w:rPr>
            </w:pPr>
            <w:r w:rsidRPr="00FE16B2">
              <w:rPr>
                <w:b/>
                <w:bCs/>
                <w:sz w:val="22"/>
                <w:szCs w:val="22"/>
                <w:lang w:eastAsia="en-GB"/>
              </w:rPr>
              <w:t>Cash and cash equivalents at 30 June</w:t>
            </w:r>
          </w:p>
        </w:tc>
        <w:tc>
          <w:tcPr>
            <w:tcW w:w="2000" w:type="dxa"/>
            <w:tcBorders>
              <w:top w:val="single" w:sz="4" w:space="0" w:color="auto"/>
              <w:left w:val="nil"/>
              <w:bottom w:val="single" w:sz="8" w:space="0" w:color="auto"/>
              <w:right w:val="nil"/>
            </w:tcBorders>
            <w:shd w:val="clear" w:color="auto" w:fill="auto"/>
            <w:noWrap/>
            <w:vAlign w:val="center"/>
            <w:hideMark/>
          </w:tcPr>
          <w:p w:rsidR="005D74BA" w:rsidRPr="00FE16B2" w:rsidRDefault="005D74BA" w:rsidP="00A35FBF">
            <w:pPr>
              <w:jc w:val="right"/>
              <w:rPr>
                <w:b/>
                <w:bCs/>
                <w:sz w:val="22"/>
                <w:szCs w:val="22"/>
                <w:lang w:eastAsia="en-GB"/>
              </w:rPr>
            </w:pPr>
            <w:r w:rsidRPr="00FE16B2">
              <w:rPr>
                <w:b/>
                <w:bCs/>
                <w:sz w:val="22"/>
                <w:szCs w:val="22"/>
                <w:lang w:eastAsia="en-GB"/>
              </w:rPr>
              <w:t>(</w:t>
            </w:r>
            <w:r w:rsidR="00A35FBF">
              <w:rPr>
                <w:b/>
                <w:bCs/>
                <w:sz w:val="22"/>
                <w:szCs w:val="22"/>
                <w:lang w:eastAsia="en-GB"/>
              </w:rPr>
              <w:t>6</w:t>
            </w:r>
            <w:r w:rsidRPr="00FE16B2">
              <w:rPr>
                <w:b/>
                <w:bCs/>
                <w:sz w:val="22"/>
                <w:szCs w:val="22"/>
                <w:lang w:eastAsia="en-GB"/>
              </w:rPr>
              <w:t>,355,499)</w:t>
            </w:r>
          </w:p>
        </w:tc>
        <w:tc>
          <w:tcPr>
            <w:tcW w:w="277" w:type="dxa"/>
            <w:tcBorders>
              <w:top w:val="nil"/>
              <w:left w:val="nil"/>
              <w:bottom w:val="nil"/>
              <w:right w:val="nil"/>
            </w:tcBorders>
            <w:shd w:val="clear" w:color="auto" w:fill="auto"/>
            <w:noWrap/>
            <w:vAlign w:val="center"/>
            <w:hideMark/>
          </w:tcPr>
          <w:p w:rsidR="005D74BA" w:rsidRPr="00FE16B2" w:rsidRDefault="005D74BA" w:rsidP="00FE16B2">
            <w:pPr>
              <w:rPr>
                <w:sz w:val="22"/>
                <w:szCs w:val="22"/>
                <w:lang w:eastAsia="en-GB"/>
              </w:rPr>
            </w:pPr>
          </w:p>
        </w:tc>
        <w:tc>
          <w:tcPr>
            <w:tcW w:w="1675" w:type="dxa"/>
            <w:tcBorders>
              <w:top w:val="single" w:sz="4" w:space="0" w:color="auto"/>
              <w:left w:val="nil"/>
              <w:bottom w:val="single" w:sz="8" w:space="0" w:color="auto"/>
              <w:right w:val="nil"/>
            </w:tcBorders>
            <w:shd w:val="clear" w:color="auto" w:fill="auto"/>
            <w:noWrap/>
            <w:vAlign w:val="center"/>
            <w:hideMark/>
          </w:tcPr>
          <w:p w:rsidR="005D74BA" w:rsidRPr="00FE16B2" w:rsidRDefault="005D74BA" w:rsidP="00A35FBF">
            <w:pPr>
              <w:jc w:val="right"/>
              <w:rPr>
                <w:sz w:val="22"/>
                <w:szCs w:val="22"/>
                <w:lang w:eastAsia="en-GB"/>
              </w:rPr>
            </w:pPr>
            <w:r w:rsidRPr="00FE16B2">
              <w:rPr>
                <w:sz w:val="22"/>
                <w:szCs w:val="22"/>
                <w:lang w:eastAsia="en-GB"/>
              </w:rPr>
              <w:t>(</w:t>
            </w:r>
            <w:r w:rsidR="00A35FBF">
              <w:rPr>
                <w:sz w:val="22"/>
                <w:szCs w:val="22"/>
                <w:lang w:eastAsia="en-GB"/>
              </w:rPr>
              <w:t>12</w:t>
            </w:r>
            <w:r w:rsidRPr="00FE16B2">
              <w:rPr>
                <w:sz w:val="22"/>
                <w:szCs w:val="22"/>
                <w:lang w:eastAsia="en-GB"/>
              </w:rPr>
              <w:t>,371,588)</w:t>
            </w:r>
          </w:p>
        </w:tc>
      </w:tr>
    </w:tbl>
    <w:p w:rsidR="00FE16B2" w:rsidRPr="00FE16B2" w:rsidRDefault="00FE16B2" w:rsidP="00FE16B2">
      <w:pPr>
        <w:rPr>
          <w:bCs/>
          <w:sz w:val="22"/>
          <w:szCs w:val="22"/>
          <w:vertAlign w:val="superscript"/>
        </w:rPr>
      </w:pPr>
    </w:p>
    <w:p w:rsidR="00FE16B2" w:rsidRDefault="00FE16B2" w:rsidP="00FE16B2">
      <w:pPr>
        <w:rPr>
          <w:bCs/>
          <w:sz w:val="22"/>
          <w:szCs w:val="22"/>
        </w:rPr>
      </w:pPr>
      <w:r w:rsidRPr="00FE16B2">
        <w:rPr>
          <w:bCs/>
          <w:sz w:val="22"/>
          <w:szCs w:val="22"/>
          <w:vertAlign w:val="superscript"/>
        </w:rPr>
        <w:t xml:space="preserve">* </w:t>
      </w:r>
      <w:r w:rsidRPr="00FE16B2">
        <w:rPr>
          <w:bCs/>
          <w:sz w:val="22"/>
          <w:szCs w:val="22"/>
        </w:rPr>
        <w:t xml:space="preserve">Restated in accordance with IAS8 Accounting Policies, Changes in Accounting Estimates and Errors.  </w:t>
      </w:r>
    </w:p>
    <w:p w:rsidR="00FE16B2" w:rsidRDefault="00FE16B2" w:rsidP="00FE16B2">
      <w:pPr>
        <w:rPr>
          <w:bCs/>
          <w:sz w:val="22"/>
          <w:szCs w:val="22"/>
        </w:rPr>
      </w:pPr>
    </w:p>
    <w:p w:rsidR="000058BF" w:rsidRPr="00A35FBF" w:rsidRDefault="00FE16B2" w:rsidP="00A35FBF">
      <w:pPr>
        <w:rPr>
          <w:sz w:val="22"/>
          <w:szCs w:val="22"/>
        </w:rPr>
      </w:pPr>
      <w:r w:rsidRPr="00FE16B2">
        <w:rPr>
          <w:bCs/>
          <w:sz w:val="22"/>
          <w:szCs w:val="22"/>
        </w:rPr>
        <w:t>The financial impact of the restatement is set out in Note 23</w:t>
      </w:r>
      <w:r>
        <w:rPr>
          <w:bCs/>
          <w:sz w:val="22"/>
          <w:szCs w:val="22"/>
        </w:rPr>
        <w:t xml:space="preserve"> of the Annual Accounts </w:t>
      </w:r>
      <w:r w:rsidR="00E21100">
        <w:rPr>
          <w:bCs/>
          <w:sz w:val="22"/>
          <w:szCs w:val="22"/>
        </w:rPr>
        <w:t xml:space="preserve">which are available </w:t>
      </w:r>
      <w:r>
        <w:rPr>
          <w:bCs/>
          <w:sz w:val="22"/>
          <w:szCs w:val="22"/>
        </w:rPr>
        <w:t>at www.eloro.co.uk</w:t>
      </w:r>
      <w:r w:rsidR="00A35FBF">
        <w:rPr>
          <w:sz w:val="22"/>
          <w:szCs w:val="22"/>
        </w:rPr>
        <w:t>.</w:t>
      </w:r>
    </w:p>
    <w:p w:rsidR="00796406" w:rsidRDefault="00796406">
      <w:pPr>
        <w:jc w:val="both"/>
        <w:rPr>
          <w:b/>
          <w:bCs/>
          <w:sz w:val="22"/>
        </w:rPr>
      </w:pPr>
    </w:p>
    <w:p w:rsidR="00185A91" w:rsidRPr="00475F48" w:rsidRDefault="00185A91">
      <w:pPr>
        <w:jc w:val="both"/>
        <w:rPr>
          <w:b/>
          <w:bCs/>
          <w:sz w:val="22"/>
        </w:rPr>
      </w:pPr>
      <w:r w:rsidRPr="00475F48">
        <w:rPr>
          <w:b/>
          <w:bCs/>
          <w:sz w:val="22"/>
        </w:rPr>
        <w:t>For further information, please contact:</w:t>
      </w:r>
    </w:p>
    <w:p w:rsidR="00185A91" w:rsidRDefault="00185A91">
      <w:pPr>
        <w:tabs>
          <w:tab w:val="left" w:pos="5103"/>
        </w:tabs>
        <w:jc w:val="both"/>
        <w:rPr>
          <w:sz w:val="22"/>
        </w:rPr>
      </w:pPr>
      <w:r w:rsidRPr="00475F48">
        <w:rPr>
          <w:sz w:val="22"/>
        </w:rPr>
        <w:t>C. Robin Woodbine Parish</w:t>
      </w:r>
      <w:r w:rsidR="00A35FBF">
        <w:rPr>
          <w:sz w:val="22"/>
        </w:rPr>
        <w:t xml:space="preserve">, </w:t>
      </w:r>
      <w:r w:rsidRPr="00475F48">
        <w:rPr>
          <w:sz w:val="22"/>
        </w:rPr>
        <w:t>Chairman</w:t>
      </w:r>
    </w:p>
    <w:p w:rsidR="00FE16B2" w:rsidRDefault="00A35FBF">
      <w:pPr>
        <w:tabs>
          <w:tab w:val="left" w:pos="5103"/>
        </w:tabs>
        <w:jc w:val="both"/>
        <w:rPr>
          <w:sz w:val="22"/>
        </w:rPr>
      </w:pPr>
      <w:r w:rsidRPr="00475F48">
        <w:rPr>
          <w:sz w:val="22"/>
        </w:rPr>
        <w:t>El</w:t>
      </w:r>
      <w:r>
        <w:rPr>
          <w:sz w:val="22"/>
        </w:rPr>
        <w:t xml:space="preserve"> Oro Ltd</w:t>
      </w:r>
      <w:r w:rsidRPr="00475F48">
        <w:rPr>
          <w:sz w:val="22"/>
        </w:rPr>
        <w:t>: 020 7581 2782</w:t>
      </w:r>
    </w:p>
    <w:p w:rsidR="00185A91" w:rsidRPr="00475F48" w:rsidRDefault="00185A91">
      <w:pPr>
        <w:ind w:right="28"/>
        <w:rPr>
          <w:sz w:val="22"/>
        </w:rPr>
      </w:pPr>
    </w:p>
    <w:sectPr w:rsidR="00185A91" w:rsidRPr="00475F48" w:rsidSect="006073BE">
      <w:headerReference w:type="even" r:id="rId8"/>
      <w:footerReference w:type="even" r:id="rId9"/>
      <w:pgSz w:w="11906" w:h="16838"/>
      <w:pgMar w:top="1134" w:right="1361" w:bottom="624"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B57" w:rsidRDefault="001D0B57">
      <w:r>
        <w:separator/>
      </w:r>
    </w:p>
  </w:endnote>
  <w:endnote w:type="continuationSeparator" w:id="0">
    <w:p w:rsidR="001D0B57" w:rsidRDefault="001D0B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B57" w:rsidRDefault="001D0B57">
    <w:pPr>
      <w:rPr>
        <w:sz w:val="16"/>
        <w:szCs w:val="16"/>
      </w:rPr>
    </w:pPr>
    <w:r w:rsidRPr="006073BE">
      <w:rPr>
        <w:noProof/>
        <w:lang w:val="en-US"/>
      </w:rPr>
      <w:pict>
        <v:shapetype id="_x0000_t202" coordsize="21600,21600" o:spt="202" path="m,l,21600r21600,l21600,xe">
          <v:stroke joinstyle="miter"/>
          <v:path gradientshapeok="t" o:connecttype="rect"/>
        </v:shapetype>
        <v:shape id="_x0000_s2049" type="#_x0000_t202" style="position:absolute;margin-left:70.6pt;margin-top:0;width:501.9pt;height:13.4pt;z-index:251657728;mso-wrap-edited:f;mso-wrap-distance-left:5pt;mso-wrap-distance-right:5pt;mso-position-horizontal-relative:page" wrapcoords="-62 0 -62 21600 21662 21600 21662 0 -62 0" o:allowincell="f" stroked="f">
          <v:fill opacity="0"/>
          <v:textbox style="mso-next-textbox:#_x0000_s2049" inset="0,0,0,0">
            <w:txbxContent>
              <w:p w:rsidR="001D0B57" w:rsidRDefault="001D0B57">
                <w:pPr>
                  <w:keepNext/>
                  <w:keepLines/>
                  <w:tabs>
                    <w:tab w:val="right" w:pos="9072"/>
                  </w:tabs>
                  <w:ind w:right="978"/>
                  <w:rPr>
                    <w:b/>
                    <w:bCs/>
                    <w:i/>
                    <w:iCs/>
                  </w:rPr>
                </w:pPr>
                <w:r>
                  <w:rPr>
                    <w:b/>
                    <w:bCs/>
                    <w:i/>
                    <w:iCs/>
                  </w:rPr>
                  <w:tab/>
                </w:r>
                <w:r>
                  <w:rPr>
                    <w:b/>
                    <w:bCs/>
                    <w:i/>
                    <w:iCs/>
                  </w:rPr>
                  <w:fldChar w:fldCharType="begin"/>
                </w:r>
                <w:r>
                  <w:rPr>
                    <w:b/>
                    <w:bCs/>
                    <w:i/>
                    <w:iCs/>
                  </w:rPr>
                  <w:instrText xml:space="preserve"> PAGE </w:instrText>
                </w:r>
                <w:r>
                  <w:rPr>
                    <w:b/>
                    <w:bCs/>
                    <w:i/>
                    <w:iCs/>
                  </w:rPr>
                  <w:fldChar w:fldCharType="separate"/>
                </w:r>
                <w:r>
                  <w:rPr>
                    <w:b/>
                    <w:bCs/>
                    <w:i/>
                    <w:iCs/>
                    <w:noProof/>
                  </w:rPr>
                  <w:t>14</w:t>
                </w:r>
                <w:r>
                  <w:rPr>
                    <w:b/>
                    <w:bCs/>
                    <w:i/>
                    <w:iCs/>
                  </w:rPr>
                  <w:fldChar w:fldCharType="end"/>
                </w:r>
              </w:p>
            </w:txbxContent>
          </v:textbox>
          <w10:wrap type="square" anchorx="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B57" w:rsidRDefault="001D0B57">
      <w:r>
        <w:separator/>
      </w:r>
    </w:p>
  </w:footnote>
  <w:footnote w:type="continuationSeparator" w:id="0">
    <w:p w:rsidR="001D0B57" w:rsidRDefault="001D0B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B57" w:rsidRDefault="001D0B57">
    <w:pPr>
      <w:keepNext/>
      <w:keepLines/>
      <w:tabs>
        <w:tab w:val="left" w:pos="2005"/>
      </w:tabs>
      <w:rPr>
        <w:spacing w:val="9"/>
        <w:sz w:val="22"/>
        <w:szCs w:val="22"/>
      </w:rPr>
    </w:pPr>
    <w:r>
      <w:rPr>
        <w:spacing w:val="9"/>
        <w:sz w:val="22"/>
        <w:szCs w:val="22"/>
      </w:rPr>
      <w:t>EL ORO AND EXPLORATION COMPANY plc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D0C3C60"/>
    <w:lvl w:ilvl="0">
      <w:start w:val="1"/>
      <w:numFmt w:val="bullet"/>
      <w:lvlText w:val=""/>
      <w:lvlJc w:val="left"/>
      <w:pPr>
        <w:tabs>
          <w:tab w:val="num" w:pos="360"/>
        </w:tabs>
        <w:ind w:left="360" w:hanging="360"/>
      </w:pPr>
      <w:rPr>
        <w:rFonts w:ascii="Symbol" w:hAnsi="Symbol" w:hint="default"/>
      </w:rPr>
    </w:lvl>
  </w:abstractNum>
  <w:abstractNum w:abstractNumId="1">
    <w:nsid w:val="0087F800"/>
    <w:multiLevelType w:val="singleLevel"/>
    <w:tmpl w:val="45C63760"/>
    <w:lvl w:ilvl="0">
      <w:start w:val="3"/>
      <w:numFmt w:val="decimal"/>
      <w:lvlText w:val="%1."/>
      <w:lvlJc w:val="left"/>
      <w:pPr>
        <w:tabs>
          <w:tab w:val="num" w:pos="288"/>
        </w:tabs>
      </w:pPr>
      <w:rPr>
        <w:rFonts w:ascii="Times New Roman" w:hAnsi="Times New Roman" w:cs="Times New Roman" w:hint="default"/>
        <w:b/>
        <w:caps w:val="0"/>
        <w:strike w:val="0"/>
        <w:dstrike w:val="0"/>
        <w:shadow w:val="0"/>
        <w:emboss w:val="0"/>
        <w:imprint w:val="0"/>
        <w:snapToGrid/>
        <w:vanish w:val="0"/>
        <w:spacing w:val="0"/>
        <w:position w:val="0"/>
        <w:sz w:val="16"/>
        <w:szCs w:val="16"/>
        <w:vertAlign w:val="baseline"/>
      </w:rPr>
    </w:lvl>
  </w:abstractNum>
  <w:abstractNum w:abstractNumId="2">
    <w:nsid w:val="009463B2"/>
    <w:multiLevelType w:val="singleLevel"/>
    <w:tmpl w:val="09EC1A32"/>
    <w:lvl w:ilvl="0">
      <w:start w:val="5"/>
      <w:numFmt w:val="decimal"/>
      <w:lvlText w:val="%1."/>
      <w:lvlJc w:val="left"/>
      <w:pPr>
        <w:tabs>
          <w:tab w:val="num" w:pos="288"/>
        </w:tabs>
        <w:ind w:left="288" w:hanging="288"/>
      </w:pPr>
      <w:rPr>
        <w:rFonts w:ascii="Times New Roman" w:hAnsi="Times New Roman" w:cs="Times New Roman"/>
        <w:b/>
        <w:snapToGrid/>
        <w:spacing w:val="60"/>
        <w:sz w:val="18"/>
        <w:szCs w:val="18"/>
      </w:rPr>
    </w:lvl>
  </w:abstractNum>
  <w:abstractNum w:abstractNumId="3">
    <w:nsid w:val="00BAEA2C"/>
    <w:multiLevelType w:val="singleLevel"/>
    <w:tmpl w:val="56694EEE"/>
    <w:lvl w:ilvl="0">
      <w:start w:val="1"/>
      <w:numFmt w:val="lowerLetter"/>
      <w:lvlText w:val="%1)"/>
      <w:lvlJc w:val="left"/>
      <w:pPr>
        <w:tabs>
          <w:tab w:val="num" w:pos="288"/>
        </w:tabs>
        <w:ind w:left="576" w:hanging="288"/>
      </w:pPr>
      <w:rPr>
        <w:rFonts w:ascii="Times New Roman" w:hAnsi="Times New Roman" w:cs="Times New Roman"/>
        <w:snapToGrid/>
        <w:sz w:val="18"/>
        <w:szCs w:val="18"/>
      </w:rPr>
    </w:lvl>
  </w:abstractNum>
  <w:abstractNum w:abstractNumId="4">
    <w:nsid w:val="01649688"/>
    <w:multiLevelType w:val="singleLevel"/>
    <w:tmpl w:val="6C5B83B4"/>
    <w:lvl w:ilvl="0">
      <w:start w:val="1"/>
      <w:numFmt w:val="decimal"/>
      <w:lvlText w:val="%1."/>
      <w:lvlJc w:val="left"/>
      <w:pPr>
        <w:tabs>
          <w:tab w:val="num" w:pos="288"/>
        </w:tabs>
        <w:ind w:left="288" w:hanging="288"/>
      </w:pPr>
      <w:rPr>
        <w:rFonts w:ascii="Times New Roman" w:hAnsi="Times New Roman" w:cs="Times New Roman"/>
        <w:snapToGrid/>
        <w:sz w:val="18"/>
        <w:szCs w:val="18"/>
      </w:rPr>
    </w:lvl>
  </w:abstractNum>
  <w:abstractNum w:abstractNumId="5">
    <w:nsid w:val="0188F515"/>
    <w:multiLevelType w:val="singleLevel"/>
    <w:tmpl w:val="2EC46988"/>
    <w:lvl w:ilvl="0">
      <w:start w:val="18"/>
      <w:numFmt w:val="decimal"/>
      <w:lvlText w:val="%1."/>
      <w:lvlJc w:val="left"/>
      <w:pPr>
        <w:tabs>
          <w:tab w:val="num" w:pos="360"/>
        </w:tabs>
      </w:pPr>
      <w:rPr>
        <w:rFonts w:ascii="Times New Roman" w:hAnsi="Times New Roman" w:cs="Times New Roman" w:hint="default"/>
        <w:b/>
        <w:snapToGrid/>
        <w:sz w:val="16"/>
        <w:szCs w:val="16"/>
      </w:rPr>
    </w:lvl>
  </w:abstractNum>
  <w:abstractNum w:abstractNumId="6">
    <w:nsid w:val="01A743B7"/>
    <w:multiLevelType w:val="singleLevel"/>
    <w:tmpl w:val="CF3CB7C8"/>
    <w:lvl w:ilvl="0">
      <w:start w:val="1"/>
      <w:numFmt w:val="lowerLetter"/>
      <w:lvlText w:val="%1."/>
      <w:lvlJc w:val="left"/>
      <w:pPr>
        <w:tabs>
          <w:tab w:val="num" w:pos="216"/>
        </w:tabs>
        <w:ind w:left="288" w:hanging="288"/>
      </w:pPr>
      <w:rPr>
        <w:rFonts w:ascii="Times New Roman" w:hAnsi="Times New Roman" w:cs="Times New Roman" w:hint="default"/>
        <w:b/>
        <w:snapToGrid/>
        <w:sz w:val="18"/>
        <w:szCs w:val="18"/>
      </w:rPr>
    </w:lvl>
  </w:abstractNum>
  <w:abstractNum w:abstractNumId="7">
    <w:nsid w:val="0205B514"/>
    <w:multiLevelType w:val="singleLevel"/>
    <w:tmpl w:val="C7E4EC12"/>
    <w:lvl w:ilvl="0">
      <w:start w:val="12"/>
      <w:numFmt w:val="decimal"/>
      <w:lvlText w:val="%1."/>
      <w:lvlJc w:val="left"/>
      <w:pPr>
        <w:tabs>
          <w:tab w:val="num" w:pos="6264"/>
        </w:tabs>
        <w:ind w:left="6264" w:hanging="6264"/>
      </w:pPr>
      <w:rPr>
        <w:rFonts w:ascii="Times New Roman" w:hAnsi="Times New Roman" w:cs="Times New Roman" w:hint="default"/>
        <w:b/>
        <w:snapToGrid/>
        <w:spacing w:val="0"/>
        <w:sz w:val="16"/>
        <w:szCs w:val="16"/>
      </w:rPr>
    </w:lvl>
  </w:abstractNum>
  <w:abstractNum w:abstractNumId="8">
    <w:nsid w:val="02D9EF79"/>
    <w:multiLevelType w:val="singleLevel"/>
    <w:tmpl w:val="F57C1FB8"/>
    <w:lvl w:ilvl="0">
      <w:start w:val="6"/>
      <w:numFmt w:val="decimal"/>
      <w:lvlText w:val="%1."/>
      <w:lvlJc w:val="left"/>
      <w:pPr>
        <w:tabs>
          <w:tab w:val="num" w:pos="360"/>
        </w:tabs>
      </w:pPr>
      <w:rPr>
        <w:rFonts w:ascii="Times New Roman" w:hAnsi="Times New Roman" w:cs="Times New Roman" w:hint="default"/>
        <w:b/>
        <w:snapToGrid/>
        <w:sz w:val="16"/>
        <w:szCs w:val="16"/>
      </w:rPr>
    </w:lvl>
  </w:abstractNum>
  <w:abstractNum w:abstractNumId="9">
    <w:nsid w:val="0334C26C"/>
    <w:multiLevelType w:val="singleLevel"/>
    <w:tmpl w:val="7EEA75B2"/>
    <w:lvl w:ilvl="0">
      <w:start w:val="9"/>
      <w:numFmt w:val="decimal"/>
      <w:lvlText w:val="%1."/>
      <w:lvlJc w:val="left"/>
      <w:pPr>
        <w:tabs>
          <w:tab w:val="num" w:pos="360"/>
        </w:tabs>
      </w:pPr>
      <w:rPr>
        <w:rFonts w:ascii="Times New Roman" w:hAnsi="Times New Roman" w:cs="Times New Roman" w:hint="default"/>
        <w:b/>
        <w:snapToGrid/>
        <w:sz w:val="16"/>
        <w:szCs w:val="16"/>
      </w:rPr>
    </w:lvl>
  </w:abstractNum>
  <w:abstractNum w:abstractNumId="10">
    <w:nsid w:val="035D6FD7"/>
    <w:multiLevelType w:val="singleLevel"/>
    <w:tmpl w:val="6AA0E2E5"/>
    <w:lvl w:ilvl="0">
      <w:start w:val="6"/>
      <w:numFmt w:val="lowerLetter"/>
      <w:lvlText w:val="%1."/>
      <w:lvlJc w:val="left"/>
      <w:pPr>
        <w:tabs>
          <w:tab w:val="num" w:pos="144"/>
        </w:tabs>
      </w:pPr>
      <w:rPr>
        <w:rFonts w:ascii="Times New Roman" w:hAnsi="Times New Roman" w:cs="Times New Roman"/>
        <w:b/>
        <w:snapToGrid/>
        <w:sz w:val="18"/>
        <w:szCs w:val="18"/>
      </w:rPr>
    </w:lvl>
  </w:abstractNum>
  <w:abstractNum w:abstractNumId="11">
    <w:nsid w:val="0387252E"/>
    <w:multiLevelType w:val="singleLevel"/>
    <w:tmpl w:val="09E271F1"/>
    <w:lvl w:ilvl="0">
      <w:start w:val="3"/>
      <w:numFmt w:val="decimal"/>
      <w:lvlText w:val="%1."/>
      <w:lvlJc w:val="left"/>
      <w:pPr>
        <w:tabs>
          <w:tab w:val="num" w:pos="288"/>
        </w:tabs>
      </w:pPr>
      <w:rPr>
        <w:rFonts w:ascii="Times New Roman" w:hAnsi="Times New Roman" w:cs="Times New Roman"/>
        <w:b/>
        <w:snapToGrid/>
        <w:sz w:val="18"/>
        <w:szCs w:val="18"/>
      </w:rPr>
    </w:lvl>
  </w:abstractNum>
  <w:abstractNum w:abstractNumId="12">
    <w:nsid w:val="03F4C863"/>
    <w:multiLevelType w:val="singleLevel"/>
    <w:tmpl w:val="4BD57C5E"/>
    <w:lvl w:ilvl="0">
      <w:numFmt w:val="bullet"/>
      <w:lvlText w:val="·"/>
      <w:lvlJc w:val="left"/>
      <w:pPr>
        <w:tabs>
          <w:tab w:val="num" w:pos="72"/>
        </w:tabs>
      </w:pPr>
      <w:rPr>
        <w:rFonts w:ascii="Symbol" w:hAnsi="Symbol" w:cs="Times New Roman"/>
        <w:snapToGrid/>
        <w:sz w:val="18"/>
      </w:rPr>
    </w:lvl>
  </w:abstractNum>
  <w:abstractNum w:abstractNumId="13">
    <w:nsid w:val="042F27C6"/>
    <w:multiLevelType w:val="singleLevel"/>
    <w:tmpl w:val="D732535C"/>
    <w:lvl w:ilvl="0">
      <w:start w:val="9"/>
      <w:numFmt w:val="decimal"/>
      <w:lvlText w:val="%1."/>
      <w:lvlJc w:val="left"/>
      <w:pPr>
        <w:tabs>
          <w:tab w:val="num" w:pos="360"/>
        </w:tabs>
      </w:pPr>
      <w:rPr>
        <w:rFonts w:ascii="Times New Roman" w:hAnsi="Times New Roman" w:cs="Times New Roman" w:hint="default"/>
        <w:b/>
        <w:snapToGrid/>
        <w:sz w:val="18"/>
        <w:szCs w:val="18"/>
      </w:rPr>
    </w:lvl>
  </w:abstractNum>
  <w:abstractNum w:abstractNumId="14">
    <w:nsid w:val="0488F5B5"/>
    <w:multiLevelType w:val="singleLevel"/>
    <w:tmpl w:val="7EF6A27C"/>
    <w:lvl w:ilvl="0">
      <w:start w:val="14"/>
      <w:numFmt w:val="decimal"/>
      <w:lvlText w:val="%1."/>
      <w:lvlJc w:val="left"/>
      <w:pPr>
        <w:tabs>
          <w:tab w:val="num" w:pos="288"/>
        </w:tabs>
      </w:pPr>
      <w:rPr>
        <w:rFonts w:ascii="Times New Roman" w:hAnsi="Times New Roman" w:cs="Times New Roman"/>
        <w:b/>
        <w:snapToGrid/>
        <w:sz w:val="18"/>
        <w:szCs w:val="18"/>
      </w:rPr>
    </w:lvl>
  </w:abstractNum>
  <w:abstractNum w:abstractNumId="15">
    <w:nsid w:val="0504744F"/>
    <w:multiLevelType w:val="singleLevel"/>
    <w:tmpl w:val="0972943E"/>
    <w:lvl w:ilvl="0">
      <w:start w:val="13"/>
      <w:numFmt w:val="decimal"/>
      <w:lvlText w:val="%1."/>
      <w:lvlJc w:val="left"/>
      <w:pPr>
        <w:tabs>
          <w:tab w:val="num" w:pos="360"/>
        </w:tabs>
      </w:pPr>
      <w:rPr>
        <w:rFonts w:ascii="Times New Roman" w:hAnsi="Times New Roman" w:cs="Times New Roman" w:hint="default"/>
        <w:b/>
        <w:snapToGrid/>
        <w:sz w:val="16"/>
        <w:szCs w:val="16"/>
      </w:rPr>
    </w:lvl>
  </w:abstractNum>
  <w:abstractNum w:abstractNumId="16">
    <w:nsid w:val="05B3B9BC"/>
    <w:multiLevelType w:val="singleLevel"/>
    <w:tmpl w:val="666CA892"/>
    <w:lvl w:ilvl="0">
      <w:start w:val="1"/>
      <w:numFmt w:val="lowerRoman"/>
      <w:lvlText w:val="%1."/>
      <w:lvlJc w:val="left"/>
      <w:pPr>
        <w:tabs>
          <w:tab w:val="num" w:pos="216"/>
        </w:tabs>
        <w:ind w:left="144"/>
      </w:pPr>
      <w:rPr>
        <w:rFonts w:ascii="Times New Roman" w:hAnsi="Times New Roman" w:cs="Times New Roman" w:hint="default"/>
        <w:b w:val="0"/>
        <w:i w:val="0"/>
        <w:snapToGrid/>
        <w:sz w:val="16"/>
        <w:szCs w:val="16"/>
      </w:rPr>
    </w:lvl>
  </w:abstractNum>
  <w:abstractNum w:abstractNumId="17">
    <w:nsid w:val="05DC1B35"/>
    <w:multiLevelType w:val="singleLevel"/>
    <w:tmpl w:val="CB54E9C8"/>
    <w:lvl w:ilvl="0">
      <w:start w:val="15"/>
      <w:numFmt w:val="decimal"/>
      <w:lvlText w:val="%1."/>
      <w:lvlJc w:val="left"/>
      <w:pPr>
        <w:tabs>
          <w:tab w:val="num" w:pos="360"/>
        </w:tabs>
      </w:pPr>
      <w:rPr>
        <w:rFonts w:ascii="Times New Roman" w:hAnsi="Times New Roman" w:cs="Times New Roman" w:hint="default"/>
        <w:b/>
        <w:snapToGrid/>
        <w:sz w:val="16"/>
        <w:szCs w:val="16"/>
      </w:rPr>
    </w:lvl>
  </w:abstractNum>
  <w:abstractNum w:abstractNumId="18">
    <w:nsid w:val="066A328E"/>
    <w:multiLevelType w:val="singleLevel"/>
    <w:tmpl w:val="F1503700"/>
    <w:lvl w:ilvl="0">
      <w:start w:val="19"/>
      <w:numFmt w:val="decimal"/>
      <w:lvlText w:val="%1."/>
      <w:lvlJc w:val="left"/>
      <w:pPr>
        <w:tabs>
          <w:tab w:val="num" w:pos="360"/>
        </w:tabs>
      </w:pPr>
      <w:rPr>
        <w:rFonts w:ascii="Times New Roman" w:hAnsi="Times New Roman" w:cs="Times New Roman" w:hint="default"/>
        <w:b/>
        <w:snapToGrid/>
        <w:sz w:val="16"/>
        <w:szCs w:val="16"/>
      </w:rPr>
    </w:lvl>
  </w:abstractNum>
  <w:abstractNum w:abstractNumId="19">
    <w:nsid w:val="0677FCFD"/>
    <w:multiLevelType w:val="singleLevel"/>
    <w:tmpl w:val="5C3AB53A"/>
    <w:lvl w:ilvl="0">
      <w:start w:val="20"/>
      <w:numFmt w:val="decimal"/>
      <w:lvlText w:val="%1."/>
      <w:lvlJc w:val="left"/>
      <w:pPr>
        <w:tabs>
          <w:tab w:val="num" w:pos="360"/>
        </w:tabs>
      </w:pPr>
      <w:rPr>
        <w:rFonts w:ascii="Times New Roman" w:hAnsi="Times New Roman" w:cs="Times New Roman" w:hint="default"/>
        <w:b/>
        <w:snapToGrid/>
        <w:sz w:val="16"/>
        <w:szCs w:val="16"/>
      </w:rPr>
    </w:lvl>
  </w:abstractNum>
  <w:abstractNum w:abstractNumId="20">
    <w:nsid w:val="06CB7473"/>
    <w:multiLevelType w:val="singleLevel"/>
    <w:tmpl w:val="23D6311E"/>
    <w:lvl w:ilvl="0">
      <w:start w:val="22"/>
      <w:numFmt w:val="decimal"/>
      <w:lvlText w:val="%1."/>
      <w:lvlJc w:val="left"/>
      <w:pPr>
        <w:tabs>
          <w:tab w:val="num" w:pos="360"/>
        </w:tabs>
      </w:pPr>
      <w:rPr>
        <w:rFonts w:ascii="Times New Roman" w:hAnsi="Times New Roman" w:cs="Times New Roman" w:hint="default"/>
        <w:b/>
        <w:snapToGrid/>
        <w:sz w:val="18"/>
        <w:szCs w:val="18"/>
      </w:rPr>
    </w:lvl>
  </w:abstractNum>
  <w:abstractNum w:abstractNumId="21">
    <w:nsid w:val="06ED0885"/>
    <w:multiLevelType w:val="singleLevel"/>
    <w:tmpl w:val="63AA058A"/>
    <w:lvl w:ilvl="0">
      <w:start w:val="11"/>
      <w:numFmt w:val="decimal"/>
      <w:lvlText w:val="%1."/>
      <w:lvlJc w:val="left"/>
      <w:pPr>
        <w:tabs>
          <w:tab w:val="num" w:pos="360"/>
        </w:tabs>
      </w:pPr>
      <w:rPr>
        <w:rFonts w:ascii="Times New Roman" w:hAnsi="Times New Roman" w:cs="Times New Roman" w:hint="default"/>
        <w:b/>
        <w:snapToGrid/>
        <w:sz w:val="18"/>
        <w:szCs w:val="18"/>
      </w:rPr>
    </w:lvl>
  </w:abstractNum>
  <w:abstractNum w:abstractNumId="22">
    <w:nsid w:val="0722EED1"/>
    <w:multiLevelType w:val="singleLevel"/>
    <w:tmpl w:val="5D0AD11C"/>
    <w:lvl w:ilvl="0">
      <w:start w:val="1"/>
      <w:numFmt w:val="lowerRoman"/>
      <w:lvlText w:val="%1."/>
      <w:lvlJc w:val="left"/>
      <w:pPr>
        <w:tabs>
          <w:tab w:val="num" w:pos="216"/>
        </w:tabs>
        <w:ind w:left="216"/>
      </w:pPr>
      <w:rPr>
        <w:rFonts w:ascii="Times New Roman" w:hAnsi="Times New Roman" w:cs="Times New Roman" w:hint="default"/>
        <w:b w:val="0"/>
        <w:i w:val="0"/>
        <w:snapToGrid/>
        <w:sz w:val="16"/>
        <w:szCs w:val="16"/>
      </w:rPr>
    </w:lvl>
  </w:abstractNum>
  <w:abstractNum w:abstractNumId="23">
    <w:nsid w:val="072E4D59"/>
    <w:multiLevelType w:val="singleLevel"/>
    <w:tmpl w:val="1D7EE100"/>
    <w:lvl w:ilvl="0">
      <w:start w:val="1"/>
      <w:numFmt w:val="lowerRoman"/>
      <w:lvlText w:val="%1."/>
      <w:lvlJc w:val="left"/>
      <w:pPr>
        <w:tabs>
          <w:tab w:val="num" w:pos="216"/>
        </w:tabs>
        <w:ind w:left="216"/>
      </w:pPr>
      <w:rPr>
        <w:rFonts w:ascii="Times New Roman" w:hAnsi="Times New Roman" w:cs="Times New Roman" w:hint="default"/>
        <w:b w:val="0"/>
        <w:i w:val="0"/>
        <w:snapToGrid/>
        <w:sz w:val="16"/>
        <w:szCs w:val="16"/>
      </w:rPr>
    </w:lvl>
  </w:abstractNum>
  <w:abstractNum w:abstractNumId="24">
    <w:nsid w:val="07A6A9DA"/>
    <w:multiLevelType w:val="singleLevel"/>
    <w:tmpl w:val="421A3F9A"/>
    <w:lvl w:ilvl="0">
      <w:start w:val="7"/>
      <w:numFmt w:val="decimal"/>
      <w:lvlText w:val="%1."/>
      <w:lvlJc w:val="left"/>
      <w:pPr>
        <w:tabs>
          <w:tab w:val="num" w:pos="360"/>
        </w:tabs>
      </w:pPr>
      <w:rPr>
        <w:rFonts w:ascii="Times New Roman" w:hAnsi="Times New Roman" w:cs="Times New Roman" w:hint="default"/>
        <w:b/>
        <w:snapToGrid/>
        <w:sz w:val="16"/>
        <w:szCs w:val="16"/>
      </w:rPr>
    </w:lvl>
  </w:abstractNum>
  <w:abstractNum w:abstractNumId="25">
    <w:nsid w:val="07CF9E2B"/>
    <w:multiLevelType w:val="singleLevel"/>
    <w:tmpl w:val="0C170399"/>
    <w:lvl w:ilvl="0">
      <w:start w:val="1"/>
      <w:numFmt w:val="decimal"/>
      <w:lvlText w:val="%1."/>
      <w:lvlJc w:val="left"/>
      <w:pPr>
        <w:tabs>
          <w:tab w:val="num" w:pos="288"/>
        </w:tabs>
        <w:ind w:left="288" w:hanging="288"/>
      </w:pPr>
      <w:rPr>
        <w:rFonts w:ascii="Times New Roman" w:hAnsi="Times New Roman" w:cs="Times New Roman"/>
        <w:snapToGrid/>
        <w:sz w:val="14"/>
        <w:szCs w:val="14"/>
      </w:rPr>
    </w:lvl>
  </w:abstractNum>
  <w:abstractNum w:abstractNumId="26">
    <w:nsid w:val="1FBE65C7"/>
    <w:multiLevelType w:val="hybridMultilevel"/>
    <w:tmpl w:val="86D41654"/>
    <w:lvl w:ilvl="0" w:tplc="1F28C78E">
      <w:start w:val="5"/>
      <w:numFmt w:val="decimal"/>
      <w:lvlText w:val="%1."/>
      <w:lvlJc w:val="left"/>
      <w:pPr>
        <w:tabs>
          <w:tab w:val="num" w:pos="288"/>
        </w:tabs>
        <w:ind w:left="288" w:hanging="288"/>
      </w:pPr>
      <w:rPr>
        <w:rFonts w:ascii="Times New Roman" w:hAnsi="Times New Roman" w:cs="Times New Roman" w:hint="default"/>
        <w:snapToGrid/>
        <w:sz w:val="18"/>
        <w:szCs w:val="18"/>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7">
    <w:nsid w:val="28185E85"/>
    <w:multiLevelType w:val="hybridMultilevel"/>
    <w:tmpl w:val="9968AACE"/>
    <w:lvl w:ilvl="0" w:tplc="D96C7D82">
      <w:start w:val="1"/>
      <w:numFmt w:val="bullet"/>
      <w:lvlText w:val=""/>
      <w:lvlJc w:val="left"/>
      <w:pPr>
        <w:tabs>
          <w:tab w:val="num" w:pos="0"/>
        </w:tabs>
      </w:pPr>
      <w:rPr>
        <w:rFonts w:ascii="Symbol" w:hAnsi="Symbol" w:cs="Times New Roman" w:hint="default"/>
        <w:sz w:val="16"/>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cs="Times New Roman" w:hint="default"/>
      </w:rPr>
    </w:lvl>
    <w:lvl w:ilvl="3" w:tplc="04090001">
      <w:start w:val="1"/>
      <w:numFmt w:val="bullet"/>
      <w:lvlText w:val=""/>
      <w:lvlJc w:val="left"/>
      <w:pPr>
        <w:tabs>
          <w:tab w:val="num" w:pos="3096"/>
        </w:tabs>
        <w:ind w:left="3096" w:hanging="360"/>
      </w:pPr>
      <w:rPr>
        <w:rFonts w:ascii="Symbol" w:hAnsi="Symbol" w:cs="Times New Roman"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Times New Roman" w:hint="default"/>
      </w:rPr>
    </w:lvl>
    <w:lvl w:ilvl="6" w:tplc="04090001">
      <w:start w:val="1"/>
      <w:numFmt w:val="bullet"/>
      <w:lvlText w:val=""/>
      <w:lvlJc w:val="left"/>
      <w:pPr>
        <w:tabs>
          <w:tab w:val="num" w:pos="5256"/>
        </w:tabs>
        <w:ind w:left="5256" w:hanging="360"/>
      </w:pPr>
      <w:rPr>
        <w:rFonts w:ascii="Symbol" w:hAnsi="Symbol" w:cs="Times New Roman"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Times New Roman" w:hint="default"/>
      </w:rPr>
    </w:lvl>
  </w:abstractNum>
  <w:abstractNum w:abstractNumId="28">
    <w:nsid w:val="2C1E260C"/>
    <w:multiLevelType w:val="hybridMultilevel"/>
    <w:tmpl w:val="929E5832"/>
    <w:lvl w:ilvl="0" w:tplc="666CA892">
      <w:start w:val="1"/>
      <w:numFmt w:val="lowerRoman"/>
      <w:lvlText w:val="%1."/>
      <w:lvlJc w:val="left"/>
      <w:pPr>
        <w:tabs>
          <w:tab w:val="num" w:pos="216"/>
        </w:tabs>
        <w:ind w:left="144"/>
      </w:pPr>
      <w:rPr>
        <w:rFonts w:ascii="Times New Roman" w:hAnsi="Times New Roman" w:cs="Times New Roman" w:hint="default"/>
        <w:b w:val="0"/>
        <w:i w:val="0"/>
        <w:snapToGrid/>
        <w:sz w:val="16"/>
        <w:szCs w:val="16"/>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9">
    <w:nsid w:val="2D7807F7"/>
    <w:multiLevelType w:val="multilevel"/>
    <w:tmpl w:val="928C8DF6"/>
    <w:lvl w:ilvl="0">
      <w:start w:val="1"/>
      <w:numFmt w:val="bullet"/>
      <w:pStyle w:val="ListBullet"/>
      <w:lvlText w:val=""/>
      <w:lvlJc w:val="left"/>
      <w:pPr>
        <w:tabs>
          <w:tab w:val="num" w:pos="360"/>
        </w:tabs>
        <w:ind w:left="360" w:hanging="360"/>
      </w:pPr>
      <w:rPr>
        <w:rFonts w:ascii="Symbol" w:hAnsi="Symbol" w:cs="Times New Roman" w:hint="default"/>
        <w:b w:val="0"/>
        <w:i w:val="0"/>
        <w:color w:val="auto"/>
        <w:sz w:val="18"/>
      </w:rPr>
    </w:lvl>
    <w:lvl w:ilvl="1">
      <w:start w:val="1"/>
      <w:numFmt w:val="bullet"/>
      <w:lvlText w:val=""/>
      <w:lvlJc w:val="left"/>
      <w:pPr>
        <w:tabs>
          <w:tab w:val="num" w:pos="720"/>
        </w:tabs>
        <w:ind w:left="720" w:hanging="363"/>
      </w:pPr>
      <w:rPr>
        <w:rFonts w:ascii="Symbol" w:hAnsi="Symbol" w:cs="Times New Roman" w:hint="default"/>
        <w:color w:val="auto"/>
      </w:rPr>
    </w:lvl>
    <w:lvl w:ilvl="2">
      <w:start w:val="1"/>
      <w:numFmt w:val="bullet"/>
      <w:lvlText w:val=""/>
      <w:lvlJc w:val="left"/>
      <w:pPr>
        <w:tabs>
          <w:tab w:val="num" w:pos="1077"/>
        </w:tabs>
        <w:ind w:left="1077" w:hanging="357"/>
      </w:pPr>
      <w:rPr>
        <w:rFonts w:ascii="Symbol" w:hAnsi="Symbol" w:cs="Times New Roman" w:hint="default"/>
        <w:color w:val="auto"/>
      </w:rPr>
    </w:lvl>
    <w:lvl w:ilvl="3">
      <w:start w:val="1"/>
      <w:numFmt w:val="decimal"/>
      <w:lvlText w:val="%1.%2.%3.%4."/>
      <w:lvlJc w:val="left"/>
      <w:pPr>
        <w:tabs>
          <w:tab w:val="num" w:pos="3711"/>
        </w:tabs>
        <w:ind w:left="2919" w:hanging="648"/>
      </w:pPr>
      <w:rPr>
        <w:rFonts w:ascii="Times New Roman" w:hAnsi="Times New Roman" w:cs="Times New Roman" w:hint="default"/>
      </w:rPr>
    </w:lvl>
    <w:lvl w:ilvl="4">
      <w:start w:val="1"/>
      <w:numFmt w:val="decimal"/>
      <w:lvlText w:val="%1.%2.%3.%4.%5."/>
      <w:lvlJc w:val="left"/>
      <w:pPr>
        <w:tabs>
          <w:tab w:val="num" w:pos="4431"/>
        </w:tabs>
        <w:ind w:left="3423" w:hanging="792"/>
      </w:pPr>
      <w:rPr>
        <w:rFonts w:ascii="Times New Roman" w:hAnsi="Times New Roman" w:cs="Times New Roman" w:hint="default"/>
      </w:rPr>
    </w:lvl>
    <w:lvl w:ilvl="5">
      <w:start w:val="1"/>
      <w:numFmt w:val="decimal"/>
      <w:lvlText w:val="%1.%2.%3.%4.%5.%6."/>
      <w:lvlJc w:val="left"/>
      <w:pPr>
        <w:tabs>
          <w:tab w:val="num" w:pos="5151"/>
        </w:tabs>
        <w:ind w:left="3927" w:hanging="936"/>
      </w:pPr>
      <w:rPr>
        <w:rFonts w:ascii="Times New Roman" w:hAnsi="Times New Roman" w:cs="Times New Roman" w:hint="default"/>
      </w:rPr>
    </w:lvl>
    <w:lvl w:ilvl="6">
      <w:start w:val="1"/>
      <w:numFmt w:val="decimal"/>
      <w:lvlText w:val="%1.%2.%3.%4.%5.%6.%7."/>
      <w:lvlJc w:val="left"/>
      <w:pPr>
        <w:tabs>
          <w:tab w:val="num" w:pos="5871"/>
        </w:tabs>
        <w:ind w:left="4431" w:hanging="1080"/>
      </w:pPr>
      <w:rPr>
        <w:rFonts w:ascii="Times New Roman" w:hAnsi="Times New Roman" w:cs="Times New Roman" w:hint="default"/>
      </w:rPr>
    </w:lvl>
    <w:lvl w:ilvl="7">
      <w:start w:val="1"/>
      <w:numFmt w:val="decimal"/>
      <w:lvlText w:val="%1.%2.%3.%4.%5.%6.%7.%8."/>
      <w:lvlJc w:val="left"/>
      <w:pPr>
        <w:tabs>
          <w:tab w:val="num" w:pos="6591"/>
        </w:tabs>
        <w:ind w:left="4935" w:hanging="1224"/>
      </w:pPr>
      <w:rPr>
        <w:rFonts w:ascii="Times New Roman" w:hAnsi="Times New Roman" w:cs="Times New Roman" w:hint="default"/>
      </w:rPr>
    </w:lvl>
    <w:lvl w:ilvl="8">
      <w:start w:val="1"/>
      <w:numFmt w:val="decimal"/>
      <w:lvlText w:val="%1.%2.%3.%4.%5.%6.%7.%8.%9."/>
      <w:lvlJc w:val="left"/>
      <w:pPr>
        <w:tabs>
          <w:tab w:val="num" w:pos="7311"/>
        </w:tabs>
        <w:ind w:left="5511" w:hanging="1440"/>
      </w:pPr>
      <w:rPr>
        <w:rFonts w:ascii="Times New Roman" w:hAnsi="Times New Roman" w:cs="Times New Roman" w:hint="default"/>
      </w:rPr>
    </w:lvl>
  </w:abstractNum>
  <w:abstractNum w:abstractNumId="30">
    <w:nsid w:val="31F7020F"/>
    <w:multiLevelType w:val="hybridMultilevel"/>
    <w:tmpl w:val="38D6CD50"/>
    <w:lvl w:ilvl="0" w:tplc="01626A1E">
      <w:start w:val="21"/>
      <w:numFmt w:val="decimal"/>
      <w:lvlText w:val="%1."/>
      <w:lvlJc w:val="left"/>
      <w:pPr>
        <w:tabs>
          <w:tab w:val="num" w:pos="360"/>
        </w:tabs>
      </w:pPr>
      <w:rPr>
        <w:rFonts w:ascii="Times New Roman" w:hAnsi="Times New Roman" w:cs="Times New Roman" w:hint="default"/>
        <w:b/>
        <w:snapToGrid/>
        <w:sz w:val="16"/>
        <w:szCs w:val="16"/>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1">
    <w:nsid w:val="44122E84"/>
    <w:multiLevelType w:val="multilevel"/>
    <w:tmpl w:val="FBD82D7A"/>
    <w:lvl w:ilvl="0">
      <w:start w:val="1"/>
      <w:numFmt w:val="bullet"/>
      <w:lvlText w:val=""/>
      <w:lvlJc w:val="left"/>
      <w:pPr>
        <w:tabs>
          <w:tab w:val="num" w:pos="360"/>
        </w:tabs>
        <w:ind w:left="360" w:hanging="360"/>
      </w:pPr>
      <w:rPr>
        <w:rFonts w:ascii="Symbol" w:hAnsi="Symbol" w:cs="Times New Roman" w:hint="default"/>
        <w:b w:val="0"/>
        <w:i w:val="0"/>
        <w:color w:val="0993CD"/>
        <w:sz w:val="18"/>
      </w:rPr>
    </w:lvl>
    <w:lvl w:ilvl="1">
      <w:start w:val="1"/>
      <w:numFmt w:val="bullet"/>
      <w:lvlText w:val=""/>
      <w:lvlJc w:val="left"/>
      <w:pPr>
        <w:tabs>
          <w:tab w:val="num" w:pos="720"/>
        </w:tabs>
        <w:ind w:left="720" w:hanging="363"/>
      </w:pPr>
      <w:rPr>
        <w:rFonts w:ascii="Symbol" w:hAnsi="Symbol" w:cs="Times New Roman" w:hint="default"/>
        <w:color w:val="auto"/>
      </w:rPr>
    </w:lvl>
    <w:lvl w:ilvl="2">
      <w:start w:val="1"/>
      <w:numFmt w:val="bullet"/>
      <w:lvlText w:val=""/>
      <w:lvlJc w:val="left"/>
      <w:pPr>
        <w:tabs>
          <w:tab w:val="num" w:pos="1077"/>
        </w:tabs>
        <w:ind w:left="1077" w:hanging="357"/>
      </w:pPr>
      <w:rPr>
        <w:rFonts w:ascii="Symbol" w:hAnsi="Symbol" w:cs="Times New Roman" w:hint="default"/>
        <w:color w:val="auto"/>
      </w:rPr>
    </w:lvl>
    <w:lvl w:ilvl="3">
      <w:start w:val="1"/>
      <w:numFmt w:val="decimal"/>
      <w:lvlText w:val="%1.%2.%3.%4."/>
      <w:lvlJc w:val="left"/>
      <w:pPr>
        <w:tabs>
          <w:tab w:val="num" w:pos="3711"/>
        </w:tabs>
        <w:ind w:left="2919" w:hanging="648"/>
      </w:pPr>
      <w:rPr>
        <w:rFonts w:ascii="Times New Roman" w:hAnsi="Times New Roman" w:cs="Times New Roman" w:hint="default"/>
      </w:rPr>
    </w:lvl>
    <w:lvl w:ilvl="4">
      <w:start w:val="1"/>
      <w:numFmt w:val="decimal"/>
      <w:lvlText w:val="%1.%2.%3.%4.%5."/>
      <w:lvlJc w:val="left"/>
      <w:pPr>
        <w:tabs>
          <w:tab w:val="num" w:pos="4431"/>
        </w:tabs>
        <w:ind w:left="3423" w:hanging="792"/>
      </w:pPr>
      <w:rPr>
        <w:rFonts w:ascii="Times New Roman" w:hAnsi="Times New Roman" w:cs="Times New Roman" w:hint="default"/>
      </w:rPr>
    </w:lvl>
    <w:lvl w:ilvl="5">
      <w:start w:val="1"/>
      <w:numFmt w:val="decimal"/>
      <w:lvlText w:val="%1.%2.%3.%4.%5.%6."/>
      <w:lvlJc w:val="left"/>
      <w:pPr>
        <w:tabs>
          <w:tab w:val="num" w:pos="5151"/>
        </w:tabs>
        <w:ind w:left="3927" w:hanging="936"/>
      </w:pPr>
      <w:rPr>
        <w:rFonts w:ascii="Times New Roman" w:hAnsi="Times New Roman" w:cs="Times New Roman" w:hint="default"/>
      </w:rPr>
    </w:lvl>
    <w:lvl w:ilvl="6">
      <w:start w:val="1"/>
      <w:numFmt w:val="decimal"/>
      <w:lvlText w:val="%1.%2.%3.%4.%5.%6.%7."/>
      <w:lvlJc w:val="left"/>
      <w:pPr>
        <w:tabs>
          <w:tab w:val="num" w:pos="5871"/>
        </w:tabs>
        <w:ind w:left="4431" w:hanging="1080"/>
      </w:pPr>
      <w:rPr>
        <w:rFonts w:ascii="Times New Roman" w:hAnsi="Times New Roman" w:cs="Times New Roman" w:hint="default"/>
      </w:rPr>
    </w:lvl>
    <w:lvl w:ilvl="7">
      <w:start w:val="1"/>
      <w:numFmt w:val="decimal"/>
      <w:lvlText w:val="%1.%2.%3.%4.%5.%6.%7.%8."/>
      <w:lvlJc w:val="left"/>
      <w:pPr>
        <w:tabs>
          <w:tab w:val="num" w:pos="6591"/>
        </w:tabs>
        <w:ind w:left="4935" w:hanging="1224"/>
      </w:pPr>
      <w:rPr>
        <w:rFonts w:ascii="Times New Roman" w:hAnsi="Times New Roman" w:cs="Times New Roman" w:hint="default"/>
      </w:rPr>
    </w:lvl>
    <w:lvl w:ilvl="8">
      <w:start w:val="1"/>
      <w:numFmt w:val="decimal"/>
      <w:lvlText w:val="%1.%2.%3.%4.%5.%6.%7.%8.%9."/>
      <w:lvlJc w:val="left"/>
      <w:pPr>
        <w:tabs>
          <w:tab w:val="num" w:pos="7311"/>
        </w:tabs>
        <w:ind w:left="5511" w:hanging="1440"/>
      </w:pPr>
      <w:rPr>
        <w:rFonts w:ascii="Times New Roman" w:hAnsi="Times New Roman" w:cs="Times New Roman" w:hint="default"/>
      </w:rPr>
    </w:lvl>
  </w:abstractNum>
  <w:abstractNum w:abstractNumId="32">
    <w:nsid w:val="54185B7E"/>
    <w:multiLevelType w:val="hybridMultilevel"/>
    <w:tmpl w:val="7352993C"/>
    <w:lvl w:ilvl="0" w:tplc="D8249AFA">
      <w:start w:val="7"/>
      <w:numFmt w:val="decimal"/>
      <w:lvlText w:val="%1."/>
      <w:lvlJc w:val="left"/>
      <w:pPr>
        <w:tabs>
          <w:tab w:val="num" w:pos="360"/>
        </w:tabs>
      </w:pPr>
      <w:rPr>
        <w:rFonts w:ascii="Times New Roman" w:hAnsi="Times New Roman" w:cs="Times New Roman" w:hint="default"/>
        <w:b/>
        <w:caps w:val="0"/>
        <w:strike w:val="0"/>
        <w:dstrike w:val="0"/>
        <w:shadow w:val="0"/>
        <w:emboss w:val="0"/>
        <w:imprint w:val="0"/>
        <w:snapToGrid/>
        <w:vanish w:val="0"/>
        <w:spacing w:val="0"/>
        <w:position w:val="0"/>
        <w:sz w:val="16"/>
        <w:szCs w:val="16"/>
        <w:vertAlign w:val="baseli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3">
    <w:nsid w:val="5ECF715E"/>
    <w:multiLevelType w:val="hybridMultilevel"/>
    <w:tmpl w:val="42FAD84C"/>
    <w:lvl w:ilvl="0" w:tplc="0409000F">
      <w:start w:val="2"/>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4">
    <w:nsid w:val="69540EAA"/>
    <w:multiLevelType w:val="hybridMultilevel"/>
    <w:tmpl w:val="703E99BA"/>
    <w:lvl w:ilvl="0" w:tplc="666CA892">
      <w:start w:val="1"/>
      <w:numFmt w:val="lowerRoman"/>
      <w:lvlText w:val="%1."/>
      <w:lvlJc w:val="left"/>
      <w:pPr>
        <w:tabs>
          <w:tab w:val="num" w:pos="216"/>
        </w:tabs>
        <w:ind w:left="144"/>
      </w:pPr>
      <w:rPr>
        <w:rFonts w:ascii="Times New Roman" w:hAnsi="Times New Roman" w:cs="Times New Roman" w:hint="default"/>
        <w:b w:val="0"/>
        <w:i w:val="0"/>
        <w:snapToGrid/>
        <w:sz w:val="16"/>
        <w:szCs w:val="16"/>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5">
    <w:nsid w:val="6FC068EB"/>
    <w:multiLevelType w:val="hybridMultilevel"/>
    <w:tmpl w:val="B9A0C852"/>
    <w:lvl w:ilvl="0" w:tplc="D96C7D82">
      <w:start w:val="1"/>
      <w:numFmt w:val="bullet"/>
      <w:lvlText w:val=""/>
      <w:lvlJc w:val="left"/>
      <w:pPr>
        <w:tabs>
          <w:tab w:val="num" w:pos="144"/>
        </w:tabs>
        <w:ind w:left="144"/>
      </w:pPr>
      <w:rPr>
        <w:rFonts w:ascii="Symbol" w:hAnsi="Symbol" w:cs="Times New Roman" w:hint="default"/>
        <w:sz w:val="16"/>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start w:val="1"/>
      <w:numFmt w:val="bullet"/>
      <w:lvlText w:val=""/>
      <w:lvlJc w:val="left"/>
      <w:pPr>
        <w:tabs>
          <w:tab w:val="num" w:pos="2304"/>
        </w:tabs>
        <w:ind w:left="2304" w:hanging="360"/>
      </w:pPr>
      <w:rPr>
        <w:rFonts w:ascii="Wingdings" w:hAnsi="Wingdings" w:cs="Times New Roman" w:hint="default"/>
      </w:rPr>
    </w:lvl>
    <w:lvl w:ilvl="3" w:tplc="04090001">
      <w:start w:val="1"/>
      <w:numFmt w:val="bullet"/>
      <w:lvlText w:val=""/>
      <w:lvlJc w:val="left"/>
      <w:pPr>
        <w:tabs>
          <w:tab w:val="num" w:pos="3024"/>
        </w:tabs>
        <w:ind w:left="3024" w:hanging="360"/>
      </w:pPr>
      <w:rPr>
        <w:rFonts w:ascii="Symbol" w:hAnsi="Symbol" w:cs="Times New Roman" w:hint="default"/>
      </w:rPr>
    </w:lvl>
    <w:lvl w:ilvl="4" w:tplc="04090003">
      <w:start w:val="1"/>
      <w:numFmt w:val="bullet"/>
      <w:lvlText w:val="o"/>
      <w:lvlJc w:val="left"/>
      <w:pPr>
        <w:tabs>
          <w:tab w:val="num" w:pos="3744"/>
        </w:tabs>
        <w:ind w:left="3744" w:hanging="360"/>
      </w:pPr>
      <w:rPr>
        <w:rFonts w:ascii="Courier New" w:hAnsi="Courier New" w:cs="Courier New" w:hint="default"/>
      </w:rPr>
    </w:lvl>
    <w:lvl w:ilvl="5" w:tplc="04090005">
      <w:start w:val="1"/>
      <w:numFmt w:val="bullet"/>
      <w:lvlText w:val=""/>
      <w:lvlJc w:val="left"/>
      <w:pPr>
        <w:tabs>
          <w:tab w:val="num" w:pos="4464"/>
        </w:tabs>
        <w:ind w:left="4464" w:hanging="360"/>
      </w:pPr>
      <w:rPr>
        <w:rFonts w:ascii="Wingdings" w:hAnsi="Wingdings" w:cs="Times New Roman" w:hint="default"/>
      </w:rPr>
    </w:lvl>
    <w:lvl w:ilvl="6" w:tplc="04090001">
      <w:start w:val="1"/>
      <w:numFmt w:val="bullet"/>
      <w:lvlText w:val=""/>
      <w:lvlJc w:val="left"/>
      <w:pPr>
        <w:tabs>
          <w:tab w:val="num" w:pos="5184"/>
        </w:tabs>
        <w:ind w:left="5184" w:hanging="360"/>
      </w:pPr>
      <w:rPr>
        <w:rFonts w:ascii="Symbol" w:hAnsi="Symbol" w:cs="Times New Roman" w:hint="default"/>
      </w:rPr>
    </w:lvl>
    <w:lvl w:ilvl="7" w:tplc="04090003">
      <w:start w:val="1"/>
      <w:numFmt w:val="bullet"/>
      <w:lvlText w:val="o"/>
      <w:lvlJc w:val="left"/>
      <w:pPr>
        <w:tabs>
          <w:tab w:val="num" w:pos="5904"/>
        </w:tabs>
        <w:ind w:left="5904" w:hanging="360"/>
      </w:pPr>
      <w:rPr>
        <w:rFonts w:ascii="Courier New" w:hAnsi="Courier New" w:cs="Courier New" w:hint="default"/>
      </w:rPr>
    </w:lvl>
    <w:lvl w:ilvl="8" w:tplc="04090005">
      <w:start w:val="1"/>
      <w:numFmt w:val="bullet"/>
      <w:lvlText w:val=""/>
      <w:lvlJc w:val="left"/>
      <w:pPr>
        <w:tabs>
          <w:tab w:val="num" w:pos="6624"/>
        </w:tabs>
        <w:ind w:left="6624" w:hanging="360"/>
      </w:pPr>
      <w:rPr>
        <w:rFonts w:ascii="Wingdings" w:hAnsi="Wingdings" w:cs="Times New Roman" w:hint="default"/>
      </w:rPr>
    </w:lvl>
  </w:abstractNum>
  <w:num w:numId="1">
    <w:abstractNumId w:val="0"/>
  </w:num>
  <w:num w:numId="2">
    <w:abstractNumId w:val="12"/>
  </w:num>
  <w:num w:numId="3">
    <w:abstractNumId w:val="12"/>
    <w:lvlOverride w:ilvl="0">
      <w:lvl w:ilvl="0">
        <w:numFmt w:val="bullet"/>
        <w:lvlText w:val="·"/>
        <w:lvlJc w:val="left"/>
        <w:pPr>
          <w:tabs>
            <w:tab w:val="num" w:pos="288"/>
          </w:tabs>
          <w:ind w:left="288" w:hanging="288"/>
        </w:pPr>
        <w:rPr>
          <w:rFonts w:ascii="Symbol" w:hAnsi="Symbol" w:cs="Times New Roman"/>
          <w:snapToGrid/>
          <w:spacing w:val="-1"/>
          <w:sz w:val="18"/>
        </w:rPr>
      </w:lvl>
    </w:lvlOverride>
  </w:num>
  <w:num w:numId="4">
    <w:abstractNumId w:val="12"/>
    <w:lvlOverride w:ilvl="0">
      <w:lvl w:ilvl="0">
        <w:numFmt w:val="bullet"/>
        <w:lvlText w:val="·"/>
        <w:lvlJc w:val="left"/>
        <w:pPr>
          <w:tabs>
            <w:tab w:val="num" w:pos="144"/>
          </w:tabs>
          <w:ind w:left="288" w:hanging="144"/>
        </w:pPr>
        <w:rPr>
          <w:rFonts w:ascii="Symbol" w:hAnsi="Symbol" w:cs="Times New Roman"/>
          <w:snapToGrid/>
          <w:spacing w:val="-8"/>
          <w:sz w:val="18"/>
        </w:rPr>
      </w:lvl>
    </w:lvlOverride>
  </w:num>
  <w:num w:numId="5">
    <w:abstractNumId w:val="16"/>
  </w:num>
  <w:num w:numId="6">
    <w:abstractNumId w:val="10"/>
  </w:num>
  <w:num w:numId="7">
    <w:abstractNumId w:val="22"/>
  </w:num>
  <w:num w:numId="8">
    <w:abstractNumId w:val="11"/>
  </w:num>
  <w:num w:numId="9">
    <w:abstractNumId w:val="2"/>
  </w:num>
  <w:num w:numId="10">
    <w:abstractNumId w:val="8"/>
  </w:num>
  <w:num w:numId="11">
    <w:abstractNumId w:val="24"/>
  </w:num>
  <w:num w:numId="12">
    <w:abstractNumId w:val="9"/>
  </w:num>
  <w:num w:numId="13">
    <w:abstractNumId w:val="7"/>
  </w:num>
  <w:num w:numId="14">
    <w:abstractNumId w:val="15"/>
  </w:num>
  <w:num w:numId="15">
    <w:abstractNumId w:val="17"/>
  </w:num>
  <w:num w:numId="16">
    <w:abstractNumId w:val="17"/>
    <w:lvlOverride w:ilvl="0">
      <w:lvl w:ilvl="0">
        <w:numFmt w:val="decimal"/>
        <w:lvlText w:val="%1."/>
        <w:lvlJc w:val="left"/>
        <w:pPr>
          <w:tabs>
            <w:tab w:val="num" w:pos="288"/>
          </w:tabs>
        </w:pPr>
        <w:rPr>
          <w:rFonts w:ascii="Times New Roman" w:hAnsi="Times New Roman" w:cs="Times New Roman"/>
          <w:b/>
          <w:snapToGrid/>
          <w:sz w:val="16"/>
          <w:szCs w:val="16"/>
        </w:rPr>
      </w:lvl>
    </w:lvlOverride>
  </w:num>
  <w:num w:numId="17">
    <w:abstractNumId w:val="5"/>
  </w:num>
  <w:num w:numId="18">
    <w:abstractNumId w:val="18"/>
  </w:num>
  <w:num w:numId="19">
    <w:abstractNumId w:val="19"/>
  </w:num>
  <w:num w:numId="20">
    <w:abstractNumId w:val="20"/>
  </w:num>
  <w:num w:numId="21">
    <w:abstractNumId w:val="12"/>
    <w:lvlOverride w:ilvl="0">
      <w:lvl w:ilvl="0">
        <w:numFmt w:val="bullet"/>
        <w:lvlText w:val="·"/>
        <w:lvlJc w:val="left"/>
        <w:pPr>
          <w:tabs>
            <w:tab w:val="num" w:pos="360"/>
          </w:tabs>
          <w:ind w:left="576" w:hanging="360"/>
        </w:pPr>
        <w:rPr>
          <w:rFonts w:ascii="Symbol" w:hAnsi="Symbol" w:cs="Times New Roman"/>
          <w:snapToGrid/>
          <w:spacing w:val="-8"/>
          <w:sz w:val="18"/>
        </w:rPr>
      </w:lvl>
    </w:lvlOverride>
  </w:num>
  <w:num w:numId="22">
    <w:abstractNumId w:val="6"/>
  </w:num>
  <w:num w:numId="23">
    <w:abstractNumId w:val="23"/>
  </w:num>
  <w:num w:numId="24">
    <w:abstractNumId w:val="1"/>
  </w:num>
  <w:num w:numId="25">
    <w:abstractNumId w:val="13"/>
  </w:num>
  <w:num w:numId="26">
    <w:abstractNumId w:val="21"/>
  </w:num>
  <w:num w:numId="27">
    <w:abstractNumId w:val="14"/>
  </w:num>
  <w:num w:numId="28">
    <w:abstractNumId w:val="4"/>
  </w:num>
  <w:num w:numId="29">
    <w:abstractNumId w:val="3"/>
  </w:num>
  <w:num w:numId="30">
    <w:abstractNumId w:val="25"/>
  </w:num>
  <w:num w:numId="31">
    <w:abstractNumId w:val="27"/>
  </w:num>
  <w:num w:numId="32">
    <w:abstractNumId w:val="34"/>
  </w:num>
  <w:num w:numId="33">
    <w:abstractNumId w:val="28"/>
  </w:num>
  <w:num w:numId="34">
    <w:abstractNumId w:val="33"/>
  </w:num>
  <w:num w:numId="35">
    <w:abstractNumId w:val="32"/>
  </w:num>
  <w:num w:numId="36">
    <w:abstractNumId w:val="30"/>
  </w:num>
  <w:num w:numId="37">
    <w:abstractNumId w:val="26"/>
  </w:num>
  <w:num w:numId="38">
    <w:abstractNumId w:val="29"/>
  </w:num>
  <w:num w:numId="39">
    <w:abstractNumId w:val="31"/>
  </w:num>
  <w:num w:numId="4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501A65"/>
    <w:rsid w:val="000058BF"/>
    <w:rsid w:val="000D769F"/>
    <w:rsid w:val="00113B59"/>
    <w:rsid w:val="00185A91"/>
    <w:rsid w:val="001A7978"/>
    <w:rsid w:val="001D0B57"/>
    <w:rsid w:val="002663AE"/>
    <w:rsid w:val="002C5B56"/>
    <w:rsid w:val="002E4722"/>
    <w:rsid w:val="003656AF"/>
    <w:rsid w:val="004F3A06"/>
    <w:rsid w:val="00501A65"/>
    <w:rsid w:val="00527616"/>
    <w:rsid w:val="0058051C"/>
    <w:rsid w:val="005D74BA"/>
    <w:rsid w:val="006073BE"/>
    <w:rsid w:val="00741DAD"/>
    <w:rsid w:val="00796406"/>
    <w:rsid w:val="009A6384"/>
    <w:rsid w:val="009E35BC"/>
    <w:rsid w:val="00A35FBF"/>
    <w:rsid w:val="00A66638"/>
    <w:rsid w:val="00A90D23"/>
    <w:rsid w:val="00B97854"/>
    <w:rsid w:val="00E21100"/>
    <w:rsid w:val="00EE482A"/>
    <w:rsid w:val="00F95200"/>
    <w:rsid w:val="00F95929"/>
    <w:rsid w:val="00FE16B2"/>
    <w:rsid w:val="00FF7650"/>
  </w:rsids>
  <m:mathPr>
    <m:mathFont m:val="Cambria Math"/>
    <m:brkBin m:val="before"/>
    <m:brkBinSub m:val="--"/>
    <m:smallFrac m:val="off"/>
    <m:dispDef/>
    <m:lMargin m:val="0"/>
    <m:rMargin m:val="0"/>
    <m:defJc m:val="centerGroup"/>
    <m:wrapIndent m:val="1440"/>
    <m:intLim m:val="subSup"/>
    <m:naryLim m:val="undOvr"/>
  </m:mathPr>
  <w:attachedSchema w:val="Bloomberg.OfficeTools.SmartTag"/>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3BE"/>
    <w:rPr>
      <w:sz w:val="24"/>
      <w:szCs w:val="24"/>
      <w:lang w:eastAsia="en-US"/>
    </w:rPr>
  </w:style>
  <w:style w:type="paragraph" w:styleId="Heading7">
    <w:name w:val="heading 7"/>
    <w:basedOn w:val="Normal"/>
    <w:next w:val="Normal"/>
    <w:link w:val="Heading7Char"/>
    <w:qFormat/>
    <w:rsid w:val="006073BE"/>
    <w:pPr>
      <w:keepNext/>
      <w:widowControl w:val="0"/>
      <w:autoSpaceDE w:val="0"/>
      <w:autoSpaceDN w:val="0"/>
      <w:spacing w:before="80"/>
      <w:outlineLvl w:val="6"/>
    </w:pPr>
    <w:rPr>
      <w:b/>
      <w:bCs/>
      <w:sz w:val="18"/>
      <w:szCs w:val="18"/>
    </w:rPr>
  </w:style>
  <w:style w:type="paragraph" w:styleId="Heading8">
    <w:name w:val="heading 8"/>
    <w:basedOn w:val="Normal"/>
    <w:next w:val="Normal"/>
    <w:qFormat/>
    <w:rsid w:val="006073BE"/>
    <w:pPr>
      <w:keepNext/>
      <w:widowControl w:val="0"/>
      <w:autoSpaceDE w:val="0"/>
      <w:autoSpaceDN w:val="0"/>
      <w:ind w:left="114"/>
      <w:outlineLvl w:val="7"/>
    </w:pPr>
    <w:rPr>
      <w:b/>
      <w:bCs/>
      <w:sz w:val="18"/>
      <w:szCs w:val="18"/>
    </w:rPr>
  </w:style>
  <w:style w:type="paragraph" w:styleId="Heading9">
    <w:name w:val="heading 9"/>
    <w:basedOn w:val="Normal"/>
    <w:next w:val="Normal"/>
    <w:qFormat/>
    <w:rsid w:val="006073BE"/>
    <w:pPr>
      <w:keepNext/>
      <w:widowControl w:val="0"/>
      <w:autoSpaceDE w:val="0"/>
      <w:autoSpaceDN w:val="0"/>
      <w:ind w:right="426"/>
      <w:jc w:val="right"/>
      <w:outlineLvl w:val="8"/>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073BE"/>
    <w:rPr>
      <w:rFonts w:ascii="Times New Roman" w:hAnsi="Times New Roman" w:cs="Times New Roman"/>
      <w:color w:val="0000FF"/>
      <w:u w:val="single"/>
    </w:rPr>
  </w:style>
  <w:style w:type="paragraph" w:styleId="FootnoteText">
    <w:name w:val="footnote text"/>
    <w:basedOn w:val="Normal"/>
    <w:semiHidden/>
    <w:rsid w:val="006073BE"/>
    <w:pPr>
      <w:widowControl w:val="0"/>
      <w:autoSpaceDE w:val="0"/>
      <w:autoSpaceDN w:val="0"/>
      <w:adjustRightInd w:val="0"/>
    </w:pPr>
    <w:rPr>
      <w:sz w:val="20"/>
      <w:szCs w:val="20"/>
    </w:rPr>
  </w:style>
  <w:style w:type="character" w:styleId="FootnoteReference">
    <w:name w:val="footnote reference"/>
    <w:basedOn w:val="DefaultParagraphFont"/>
    <w:semiHidden/>
    <w:rsid w:val="006073BE"/>
    <w:rPr>
      <w:rFonts w:ascii="Times New Roman" w:hAnsi="Times New Roman" w:cs="Times New Roman"/>
      <w:vertAlign w:val="superscript"/>
    </w:rPr>
  </w:style>
  <w:style w:type="paragraph" w:styleId="ListBullet">
    <w:name w:val="List Bullet"/>
    <w:basedOn w:val="Normal"/>
    <w:autoRedefine/>
    <w:semiHidden/>
    <w:rsid w:val="006073BE"/>
    <w:pPr>
      <w:numPr>
        <w:numId w:val="38"/>
      </w:numPr>
      <w:spacing w:after="120" w:line="240" w:lineRule="atLeast"/>
    </w:pPr>
    <w:rPr>
      <w:rFonts w:ascii="Arial" w:hAnsi="Arial" w:cs="Arial"/>
      <w:sz w:val="20"/>
      <w:szCs w:val="20"/>
    </w:rPr>
  </w:style>
  <w:style w:type="character" w:customStyle="1" w:styleId="Heading7Char">
    <w:name w:val="Heading 7 Char"/>
    <w:basedOn w:val="DefaultParagraphFont"/>
    <w:link w:val="Heading7"/>
    <w:rsid w:val="006073BE"/>
    <w:rPr>
      <w:b/>
      <w:bCs/>
      <w:sz w:val="18"/>
      <w:szCs w:val="18"/>
      <w:lang w:eastAsia="en-US"/>
    </w:rPr>
  </w:style>
  <w:style w:type="paragraph" w:styleId="BalloonText">
    <w:name w:val="Balloon Text"/>
    <w:basedOn w:val="Normal"/>
    <w:semiHidden/>
    <w:rsid w:val="006073BE"/>
    <w:rPr>
      <w:rFonts w:ascii="Tahoma" w:hAnsi="Tahoma" w:cs="Tahoma"/>
      <w:sz w:val="16"/>
      <w:szCs w:val="16"/>
    </w:rPr>
  </w:style>
  <w:style w:type="paragraph" w:styleId="Header">
    <w:name w:val="header"/>
    <w:basedOn w:val="Normal"/>
    <w:semiHidden/>
    <w:rsid w:val="006073BE"/>
    <w:pPr>
      <w:tabs>
        <w:tab w:val="center" w:pos="4320"/>
        <w:tab w:val="right" w:pos="8640"/>
      </w:tabs>
    </w:pPr>
  </w:style>
  <w:style w:type="paragraph" w:styleId="Footer">
    <w:name w:val="footer"/>
    <w:basedOn w:val="Normal"/>
    <w:semiHidden/>
    <w:rsid w:val="006073BE"/>
    <w:pPr>
      <w:tabs>
        <w:tab w:val="center" w:pos="4320"/>
        <w:tab w:val="right" w:pos="8640"/>
      </w:tabs>
    </w:pPr>
  </w:style>
  <w:style w:type="table" w:styleId="TableGrid">
    <w:name w:val="Table Grid"/>
    <w:basedOn w:val="TableNormal"/>
    <w:uiPriority w:val="59"/>
    <w:rsid w:val="00FE16B2"/>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879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lor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8</Pages>
  <Words>3768</Words>
  <Characters>20366</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El Oro &amp; Exploration Company plc</vt:lpstr>
    </vt:vector>
  </TitlesOfParts>
  <Company>Frogg Investments Limited</Company>
  <LinksUpToDate>false</LinksUpToDate>
  <CharactersWithSpaces>24086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Oro &amp; Exploration Company plc</dc:title>
  <dc:creator>McKeane</dc:creator>
  <cp:lastModifiedBy>steven.mckeane</cp:lastModifiedBy>
  <cp:revision>8</cp:revision>
  <cp:lastPrinted>2009-12-21T10:14:00Z</cp:lastPrinted>
  <dcterms:created xsi:type="dcterms:W3CDTF">2009-12-18T14:37:00Z</dcterms:created>
  <dcterms:modified xsi:type="dcterms:W3CDTF">2009-12-21T10:20:00Z</dcterms:modified>
</cp:coreProperties>
</file>